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9B948" w14:textId="77777777" w:rsidR="00BE07B0" w:rsidRDefault="00000000">
      <w:pPr>
        <w:rPr>
          <w:rFonts w:ascii="Times New Roman Bold" w:hAnsi="Times New Roman Bold" w:cs="Times New Roman Bold"/>
          <w:b/>
          <w:bCs/>
        </w:rPr>
      </w:pPr>
      <w:r>
        <w:rPr>
          <w:rFonts w:ascii="Times New Roman Bold" w:hAnsi="Times New Roman Bold" w:cs="Times New Roman Bold"/>
          <w:b/>
          <w:bCs/>
        </w:rPr>
        <w:t>Introduction</w:t>
      </w:r>
    </w:p>
    <w:p w14:paraId="1945D09B" w14:textId="77777777" w:rsidR="00BE07B0" w:rsidRDefault="00BE07B0">
      <w:pPr>
        <w:rPr>
          <w:rFonts w:ascii="Times New Roman Regular" w:hAnsi="Times New Roman Regular"/>
        </w:rPr>
      </w:pPr>
    </w:p>
    <w:p w14:paraId="26608ECC" w14:textId="77777777" w:rsidR="00BE07B0" w:rsidRDefault="00000000">
      <w:pPr>
        <w:rPr>
          <w:rFonts w:ascii="Times New Roman Regular" w:hAnsi="Times New Roman Regular"/>
        </w:rPr>
      </w:pPr>
      <w:r>
        <w:rPr>
          <w:rFonts w:ascii="Times New Roman Regular" w:hAnsi="Times New Roman Regular"/>
        </w:rPr>
        <w:t>This analysis focuses on predicting H1N1 vaccination rates using demographic and socioeconomic factors. The H1N1 influenza pandemic of 2009-2010 highlighted the critical importance of understanding vaccination patterns and their determinants across different population segments. This study employs advanced statistical methods, including Bayesian hierarchical modeling, to analyze factors influencing vaccination decisions and develop predictive models for vaccination likelihood.</w:t>
      </w:r>
    </w:p>
    <w:p w14:paraId="6152DC55" w14:textId="77777777" w:rsidR="00BE07B0" w:rsidRDefault="00BE07B0">
      <w:pPr>
        <w:rPr>
          <w:rFonts w:ascii="Times New Roman Regular" w:hAnsi="Times New Roman Regular"/>
        </w:rPr>
      </w:pPr>
    </w:p>
    <w:p w14:paraId="42DB99DF" w14:textId="77777777" w:rsidR="00BE07B0" w:rsidRDefault="00000000">
      <w:pPr>
        <w:rPr>
          <w:rFonts w:ascii="Times New Roman Bold" w:hAnsi="Times New Roman Bold" w:cs="Times New Roman Bold"/>
          <w:b/>
          <w:bCs/>
        </w:rPr>
      </w:pPr>
      <w:r>
        <w:rPr>
          <w:rFonts w:ascii="Times New Roman Bold" w:hAnsi="Times New Roman Bold" w:cs="Times New Roman Bold"/>
          <w:b/>
          <w:bCs/>
        </w:rPr>
        <w:t>Problem Description</w:t>
      </w:r>
    </w:p>
    <w:p w14:paraId="7DAAD68D" w14:textId="77777777" w:rsidR="00BE07B0" w:rsidRDefault="00BE07B0">
      <w:pPr>
        <w:rPr>
          <w:rFonts w:ascii="Times New Roman Regular" w:hAnsi="Times New Roman Regular"/>
        </w:rPr>
      </w:pPr>
    </w:p>
    <w:p w14:paraId="1DF5D78F" w14:textId="77777777" w:rsidR="00BE07B0" w:rsidRDefault="00000000">
      <w:pPr>
        <w:rPr>
          <w:rFonts w:ascii="Times New Roman Regular" w:hAnsi="Times New Roman Regular"/>
        </w:rPr>
      </w:pPr>
      <w:r>
        <w:rPr>
          <w:rFonts w:ascii="Times New Roman Regular" w:hAnsi="Times New Roman Regular"/>
        </w:rPr>
        <w:t>The H1N1 pandemic of 2009-2010 highlighted the importance of vaccination to prevent outbreaks. This study uses data from the 2009 National H1N1 Flu Survey to predict vaccination likelihood based on demographic, behavioral, and geographic factors like education and location. Bayesian hierarchical modeling identifies key influences, such as doctor recommendations and healthcare worker status, achieving strong predictive performance (AUC of 0.82). By understanding these factors, the study aims to inform targeted public health strategies to improve vaccination rates and reduce future pandemic risks.## Data Cleaning and Imputation</w:t>
      </w:r>
    </w:p>
    <w:p w14:paraId="7B5B57D8" w14:textId="77777777" w:rsidR="00BE07B0" w:rsidRDefault="00BE07B0">
      <w:pPr>
        <w:rPr>
          <w:rFonts w:ascii="Times New Roman Regular" w:hAnsi="Times New Roman Regular"/>
        </w:rPr>
      </w:pPr>
    </w:p>
    <w:p w14:paraId="7A4603EF" w14:textId="77777777" w:rsidR="00BE07B0" w:rsidRDefault="00000000">
      <w:pPr>
        <w:rPr>
          <w:rFonts w:ascii="Times New Roman Bold" w:hAnsi="Times New Roman Bold" w:cs="Times New Roman Bold"/>
          <w:b/>
        </w:rPr>
      </w:pPr>
      <w:r>
        <w:rPr>
          <w:rFonts w:ascii="Times New Roman Bold" w:hAnsi="Times New Roman Bold" w:cs="Times New Roman Bold"/>
          <w:b/>
        </w:rPr>
        <w:t>Data cleaning and Imputation</w:t>
      </w:r>
    </w:p>
    <w:p w14:paraId="6B11DB70" w14:textId="77777777" w:rsidR="00BE07B0" w:rsidRDefault="00000000">
      <w:pPr>
        <w:rPr>
          <w:rFonts w:ascii="Times New Roman Regular" w:hAnsi="Times New Roman Regular"/>
        </w:rPr>
      </w:pPr>
      <w:r>
        <w:rPr>
          <w:noProof/>
        </w:rPr>
        <w:drawing>
          <wp:anchor distT="0" distB="0" distL="114300" distR="114300" simplePos="0" relativeHeight="251659264" behindDoc="0" locked="0" layoutInCell="1" allowOverlap="1" wp14:anchorId="25E8323E" wp14:editId="57DC2D78">
            <wp:simplePos x="0" y="0"/>
            <wp:positionH relativeFrom="column">
              <wp:posOffset>-43815</wp:posOffset>
            </wp:positionH>
            <wp:positionV relativeFrom="paragraph">
              <wp:posOffset>54610</wp:posOffset>
            </wp:positionV>
            <wp:extent cx="2777490" cy="1928495"/>
            <wp:effectExtent l="0" t="0" r="16510" b="1905"/>
            <wp:wrapTopAndBottom/>
            <wp:docPr id="105" name="Google Shape;105;p22"/>
            <wp:cNvGraphicFramePr/>
            <a:graphic xmlns:a="http://schemas.openxmlformats.org/drawingml/2006/main">
              <a:graphicData uri="http://schemas.openxmlformats.org/drawingml/2006/picture">
                <pic:pic xmlns:pic="http://schemas.openxmlformats.org/drawingml/2006/picture">
                  <pic:nvPicPr>
                    <pic:cNvPr id="105" name="Google Shape;105;p22"/>
                    <pic:cNvPicPr preferRelativeResize="0"/>
                  </pic:nvPicPr>
                  <pic:blipFill>
                    <a:blip r:embed="rId4"/>
                    <a:stretch>
                      <a:fillRect/>
                    </a:stretch>
                  </pic:blipFill>
                  <pic:spPr>
                    <a:xfrm>
                      <a:off x="0" y="0"/>
                      <a:ext cx="2777490" cy="1928495"/>
                    </a:xfrm>
                    <a:prstGeom prst="rect">
                      <a:avLst/>
                    </a:prstGeom>
                    <a:noFill/>
                    <a:ln>
                      <a:noFill/>
                    </a:ln>
                  </pic:spPr>
                </pic:pic>
              </a:graphicData>
            </a:graphic>
          </wp:anchor>
        </w:drawing>
      </w:r>
      <w:r>
        <w:rPr>
          <w:noProof/>
        </w:rPr>
        <w:drawing>
          <wp:anchor distT="0" distB="0" distL="114300" distR="114300" simplePos="0" relativeHeight="251660288" behindDoc="1" locked="0" layoutInCell="1" allowOverlap="1" wp14:anchorId="34C9473C" wp14:editId="28BE9F31">
            <wp:simplePos x="0" y="0"/>
            <wp:positionH relativeFrom="column">
              <wp:posOffset>2780030</wp:posOffset>
            </wp:positionH>
            <wp:positionV relativeFrom="paragraph">
              <wp:posOffset>99695</wp:posOffset>
            </wp:positionV>
            <wp:extent cx="3030855" cy="1796415"/>
            <wp:effectExtent l="0" t="0" r="42545" b="6985"/>
            <wp:wrapTight wrapText="bothSides">
              <wp:wrapPolygon edited="0">
                <wp:start x="0" y="0"/>
                <wp:lineTo x="0" y="21379"/>
                <wp:lineTo x="21360" y="21379"/>
                <wp:lineTo x="21360" y="0"/>
                <wp:lineTo x="0" y="0"/>
              </wp:wrapPolygon>
            </wp:wrapTight>
            <wp:docPr id="104" name="Google Shape;104;p22"/>
            <wp:cNvGraphicFramePr/>
            <a:graphic xmlns:a="http://schemas.openxmlformats.org/drawingml/2006/main">
              <a:graphicData uri="http://schemas.openxmlformats.org/drawingml/2006/picture">
                <pic:pic xmlns:pic="http://schemas.openxmlformats.org/drawingml/2006/picture">
                  <pic:nvPicPr>
                    <pic:cNvPr id="104" name="Google Shape;104;p22"/>
                    <pic:cNvPicPr preferRelativeResize="0"/>
                  </pic:nvPicPr>
                  <pic:blipFill>
                    <a:blip r:embed="rId5"/>
                    <a:stretch>
                      <a:fillRect/>
                    </a:stretch>
                  </pic:blipFill>
                  <pic:spPr>
                    <a:xfrm>
                      <a:off x="0" y="0"/>
                      <a:ext cx="3030855" cy="1796415"/>
                    </a:xfrm>
                    <a:prstGeom prst="rect">
                      <a:avLst/>
                    </a:prstGeom>
                    <a:noFill/>
                    <a:ln>
                      <a:noFill/>
                    </a:ln>
                  </pic:spPr>
                </pic:pic>
              </a:graphicData>
            </a:graphic>
          </wp:anchor>
        </w:drawing>
      </w:r>
    </w:p>
    <w:p w14:paraId="271C3C05" w14:textId="77777777" w:rsidR="00BE07B0" w:rsidRDefault="00000000">
      <w:pPr>
        <w:rPr>
          <w:rFonts w:ascii="Times New Roman Regular" w:hAnsi="Times New Roman Regular"/>
        </w:rPr>
      </w:pPr>
      <w:r>
        <w:rPr>
          <w:rFonts w:ascii="Times New Roman Regular" w:hAnsi="Times New Roman Regular"/>
        </w:rPr>
        <w:t>Ordinal Encoding used for variables with a natural order, like income levels, to retain their ranking structure. Factor Encoding applied to unordered categorical variables to convert them into a usable numeric format. The cleaned dataset was then split into two parts: 70% Training Set is for developing and optimizing models and 30% Testing Set is or evaluating model performance and ensuring it generalizes well to new data.</w:t>
      </w:r>
    </w:p>
    <w:p w14:paraId="013747B0" w14:textId="77777777" w:rsidR="00BE07B0" w:rsidRDefault="00BE07B0">
      <w:pPr>
        <w:rPr>
          <w:rFonts w:ascii="Times New Roman Regular" w:hAnsi="Times New Roman Regular"/>
        </w:rPr>
      </w:pPr>
    </w:p>
    <w:p w14:paraId="40C5E36F" w14:textId="77777777" w:rsidR="00BE07B0" w:rsidRDefault="00000000">
      <w:pPr>
        <w:rPr>
          <w:rFonts w:ascii="Times New Roman Regular" w:hAnsi="Times New Roman Regular"/>
        </w:rPr>
      </w:pPr>
      <w:r>
        <w:rPr>
          <w:rFonts w:ascii="Times New Roman Regular" w:hAnsi="Times New Roman Regular"/>
        </w:rPr>
        <w:t>The exploratory data analysis highlights key group-level factors, such as education, geographic location, and income levels, which influence H1N1 vaccination rates. Variables like metropolitan statistical area (MSA) classification and education level can serve as group-level predictors in hierarchical models, capturing differences in vaccination behavior across these categories. For example, income disparities significantly impact vaccination rates, likely due to differences in healthcare access and awareness. These insights justify the use of hierarchical modeling to account for variability across groups and improve predictive accuracy.</w:t>
      </w:r>
    </w:p>
    <w:p w14:paraId="02B2F185" w14:textId="77777777" w:rsidR="00BE07B0" w:rsidRDefault="00BE07B0">
      <w:pPr>
        <w:rPr>
          <w:rFonts w:ascii="Times New Roman Regular" w:hAnsi="Times New Roman Regular"/>
        </w:rPr>
      </w:pPr>
    </w:p>
    <w:sectPr w:rsidR="00BE07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auto"/>
    <w:pitch w:val="default"/>
    <w:sig w:usb0="E0000AFF" w:usb1="00007843" w:usb2="00000001" w:usb3="00000000" w:csb0="400001BF" w:csb1="DFF70000"/>
  </w:font>
  <w:font w:name="Times New Roman Regular">
    <w:altName w:val="Times New Roman"/>
    <w:panose1 w:val="020B0604020202020204"/>
    <w:charset w:val="00"/>
    <w:family w:val="auto"/>
    <w:pitch w:val="default"/>
    <w:sig w:usb0="E0000AFF" w:usb1="00007843" w:usb2="00000001" w:usb3="00000000" w:csb0="400001BF" w:csb1="DFF7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BF2ADDA"/>
    <w:rsid w:val="00993779"/>
    <w:rsid w:val="00BE07B0"/>
    <w:rsid w:val="00F2198E"/>
    <w:rsid w:val="6ED60A8F"/>
    <w:rsid w:val="7BF2A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85775"/>
  <w15:docId w15:val="{1ABE2A6B-E906-1B41-8920-F5959B256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3">
    <w:name w:val="heading 3"/>
    <w:basedOn w:val="Normal"/>
    <w:next w:val="Normal"/>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Zhengxue Zhu</dc:creator>
  <cp:lastModifiedBy>Wang, Yiou</cp:lastModifiedBy>
  <cp:revision>2</cp:revision>
  <dcterms:created xsi:type="dcterms:W3CDTF">2024-12-12T05:16:00Z</dcterms:created>
  <dcterms:modified xsi:type="dcterms:W3CDTF">2024-12-12T05:16:00Z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2052-6.10.1.8197</vt:lpwstr>
  </property>
  <property fmtid="{D5CDD505-2E9C-101B-9397-08002B2CF9AE}" pid="3" name="ICV">
    <vt:lpwstr>1502AA37C8344AC0333759672574D15E_41</vt:lpwstr>
  </property>
</Properties>
</file>