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7B110" w14:textId="77777777" w:rsidR="00046603" w:rsidRPr="00F16CF7" w:rsidRDefault="00046603" w:rsidP="00046603">
      <w:pPr>
        <w:spacing w:after="60" w:line="480" w:lineRule="auto"/>
        <w:jc w:val="center"/>
        <w:rPr>
          <w:rFonts w:asciiTheme="minorHAnsi" w:eastAsia="Cambria" w:hAnsiTheme="minorHAnsi" w:cs="Cambria"/>
          <w:b/>
          <w:color w:val="000000"/>
          <w:sz w:val="44"/>
          <w:szCs w:val="44"/>
        </w:rPr>
      </w:pPr>
      <w:r w:rsidRPr="00F16CF7">
        <w:rPr>
          <w:rFonts w:asciiTheme="minorHAnsi" w:eastAsia="Cambria" w:hAnsiTheme="minorHAnsi" w:cs="Cambria"/>
          <w:b/>
          <w:color w:val="000000"/>
          <w:sz w:val="44"/>
          <w:szCs w:val="44"/>
        </w:rPr>
        <w:t>Supporting Materials</w:t>
      </w:r>
    </w:p>
    <w:p w14:paraId="74007CB0" w14:textId="77777777" w:rsidR="00046603" w:rsidRPr="00F16CF7" w:rsidRDefault="00046603" w:rsidP="00046603">
      <w:pPr>
        <w:spacing w:line="480" w:lineRule="auto"/>
        <w:jc w:val="both"/>
        <w:rPr>
          <w:rFonts w:asciiTheme="minorHAnsi" w:hAnsiTheme="minorHAnsi"/>
          <w:b/>
          <w:color w:val="000000"/>
          <w:sz w:val="24"/>
          <w:szCs w:val="24"/>
          <w:u w:val="single"/>
        </w:rPr>
      </w:pPr>
    </w:p>
    <w:p w14:paraId="51BC6FE3" w14:textId="77777777" w:rsidR="00046603" w:rsidRPr="00F16CF7" w:rsidRDefault="00046603" w:rsidP="00046603">
      <w:pPr>
        <w:spacing w:line="480" w:lineRule="auto"/>
        <w:jc w:val="both"/>
        <w:rPr>
          <w:rFonts w:asciiTheme="minorHAnsi" w:hAnsiTheme="minorHAnsi"/>
          <w:sz w:val="24"/>
          <w:szCs w:val="24"/>
        </w:rPr>
      </w:pPr>
      <w:r w:rsidRPr="00F16CF7">
        <w:rPr>
          <w:rFonts w:asciiTheme="minorHAnsi" w:hAnsiTheme="minorHAnsi"/>
          <w:b/>
          <w:color w:val="000000"/>
          <w:sz w:val="24"/>
          <w:szCs w:val="24"/>
          <w:u w:val="single"/>
        </w:rPr>
        <w:t>S1. Definition of high risk and low risk contact </w:t>
      </w:r>
      <w:r w:rsidRPr="00F16CF7">
        <w:rPr>
          <w:rFonts w:asciiTheme="minorHAnsi" w:hAnsiTheme="minorHAnsi"/>
          <w:sz w:val="24"/>
          <w:szCs w:val="24"/>
          <w:vertAlign w:val="superscript"/>
        </w:rPr>
        <w:t>1</w:t>
      </w:r>
    </w:p>
    <w:p w14:paraId="451D2C5C" w14:textId="77777777" w:rsidR="00046603" w:rsidRPr="00F16CF7" w:rsidRDefault="00046603" w:rsidP="00046603">
      <w:pPr>
        <w:spacing w:line="480" w:lineRule="auto"/>
        <w:jc w:val="both"/>
        <w:rPr>
          <w:rFonts w:asciiTheme="minorHAnsi" w:hAnsiTheme="minorHAnsi"/>
          <w:sz w:val="24"/>
          <w:szCs w:val="24"/>
        </w:rPr>
      </w:pPr>
      <w:r w:rsidRPr="00F16CF7">
        <w:rPr>
          <w:rFonts w:asciiTheme="minorHAnsi" w:hAnsiTheme="minorHAnsi"/>
          <w:color w:val="000000"/>
          <w:sz w:val="24"/>
          <w:szCs w:val="24"/>
        </w:rPr>
        <w:t>High-risk contact:</w:t>
      </w:r>
    </w:p>
    <w:p w14:paraId="0B3B978C" w14:textId="77777777" w:rsidR="00046603" w:rsidRPr="00F16CF7" w:rsidRDefault="00046603" w:rsidP="00046603">
      <w:pPr>
        <w:numPr>
          <w:ilvl w:val="0"/>
          <w:numId w:val="1"/>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Lives in the same household as the case</w:t>
      </w:r>
    </w:p>
    <w:p w14:paraId="08318C56" w14:textId="77777777" w:rsidR="00046603" w:rsidRPr="00F16CF7" w:rsidRDefault="00046603" w:rsidP="00046603">
      <w:pPr>
        <w:numPr>
          <w:ilvl w:val="0"/>
          <w:numId w:val="1"/>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Anyone in close proximity (within 1 meter) of the confirmed case without precautions</w:t>
      </w:r>
    </w:p>
    <w:p w14:paraId="6FE174BD" w14:textId="77777777" w:rsidR="00046603" w:rsidRPr="00F16CF7" w:rsidRDefault="00046603" w:rsidP="00046603">
      <w:pPr>
        <w:numPr>
          <w:ilvl w:val="0"/>
          <w:numId w:val="1"/>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Touched or cleaned the linens, clothes, or dishes of the patient.</w:t>
      </w:r>
    </w:p>
    <w:p w14:paraId="37486B06" w14:textId="77777777" w:rsidR="00046603" w:rsidRPr="00F16CF7" w:rsidRDefault="00046603" w:rsidP="00046603">
      <w:pPr>
        <w:numPr>
          <w:ilvl w:val="0"/>
          <w:numId w:val="1"/>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Had direct physical contact with the body of the patient including physical examination without PPE.</w:t>
      </w:r>
    </w:p>
    <w:p w14:paraId="703EA276" w14:textId="77777777" w:rsidR="00046603" w:rsidRPr="00F16CF7" w:rsidRDefault="00046603" w:rsidP="00046603">
      <w:pPr>
        <w:numPr>
          <w:ilvl w:val="0"/>
          <w:numId w:val="1"/>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Passenger in close proximity (within 1 meter) of a conveyance with a symptomatic person who later tested positive for COVID-19.</w:t>
      </w:r>
    </w:p>
    <w:p w14:paraId="2DEB8E8A" w14:textId="77777777" w:rsidR="00046603" w:rsidRPr="002A3022" w:rsidRDefault="00046603" w:rsidP="00046603">
      <w:pPr>
        <w:numPr>
          <w:ilvl w:val="0"/>
          <w:numId w:val="1"/>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 xml:space="preserve">Touched body fluids of the case without appropriate PPE (respiratory tract secretions, blood, vomit, saliva, urine, </w:t>
      </w:r>
      <w:proofErr w:type="spellStart"/>
      <w:r w:rsidRPr="00F16CF7">
        <w:rPr>
          <w:rFonts w:asciiTheme="minorHAnsi" w:hAnsiTheme="minorHAnsi"/>
          <w:color w:val="000000"/>
          <w:sz w:val="24"/>
          <w:szCs w:val="24"/>
        </w:rPr>
        <w:t>feces</w:t>
      </w:r>
      <w:proofErr w:type="spellEnd"/>
      <w:r w:rsidRPr="00F16CF7">
        <w:rPr>
          <w:rFonts w:asciiTheme="minorHAnsi" w:hAnsiTheme="minorHAnsi"/>
          <w:color w:val="000000"/>
          <w:sz w:val="24"/>
          <w:szCs w:val="24"/>
        </w:rPr>
        <w:t>)</w:t>
      </w:r>
    </w:p>
    <w:p w14:paraId="40C81FC5" w14:textId="77777777" w:rsidR="00046603" w:rsidRPr="00F16CF7" w:rsidRDefault="00046603" w:rsidP="00046603">
      <w:pPr>
        <w:spacing w:line="480" w:lineRule="auto"/>
        <w:jc w:val="both"/>
        <w:rPr>
          <w:rFonts w:asciiTheme="minorHAnsi" w:hAnsiTheme="minorHAnsi"/>
          <w:sz w:val="24"/>
          <w:szCs w:val="24"/>
        </w:rPr>
      </w:pPr>
      <w:r w:rsidRPr="00F16CF7">
        <w:rPr>
          <w:rFonts w:asciiTheme="minorHAnsi" w:hAnsiTheme="minorHAnsi"/>
          <w:color w:val="000000"/>
          <w:sz w:val="24"/>
          <w:szCs w:val="24"/>
        </w:rPr>
        <w:t>Low-risk contact:</w:t>
      </w:r>
    </w:p>
    <w:p w14:paraId="5877A806" w14:textId="77777777" w:rsidR="00046603" w:rsidRPr="00F16CF7" w:rsidRDefault="00046603" w:rsidP="00046603">
      <w:pPr>
        <w:numPr>
          <w:ilvl w:val="0"/>
          <w:numId w:val="2"/>
        </w:numPr>
        <w:spacing w:line="480" w:lineRule="auto"/>
        <w:jc w:val="both"/>
        <w:rPr>
          <w:rFonts w:asciiTheme="minorHAnsi" w:hAnsiTheme="minorHAnsi"/>
          <w:b/>
          <w:color w:val="000000"/>
          <w:sz w:val="24"/>
          <w:szCs w:val="24"/>
          <w:u w:val="single"/>
        </w:rPr>
      </w:pPr>
      <w:r w:rsidRPr="00F16CF7">
        <w:rPr>
          <w:rFonts w:asciiTheme="minorHAnsi" w:hAnsiTheme="minorHAnsi"/>
          <w:color w:val="000000"/>
          <w:sz w:val="24"/>
          <w:szCs w:val="24"/>
        </w:rPr>
        <w:t>Any contact not fitting into the above high-risk contact description.</w:t>
      </w:r>
    </w:p>
    <w:p w14:paraId="0175D7C2" w14:textId="77777777" w:rsidR="00046603" w:rsidRPr="00F16CF7" w:rsidRDefault="00046603" w:rsidP="00046603">
      <w:pPr>
        <w:spacing w:line="480" w:lineRule="auto"/>
        <w:jc w:val="both"/>
        <w:rPr>
          <w:rFonts w:asciiTheme="minorHAnsi" w:hAnsiTheme="minorHAnsi"/>
          <w:b/>
          <w:color w:val="000000"/>
          <w:sz w:val="24"/>
          <w:szCs w:val="24"/>
          <w:u w:val="single"/>
        </w:rPr>
      </w:pPr>
    </w:p>
    <w:p w14:paraId="20E2DE55" w14:textId="77777777" w:rsidR="00046603" w:rsidRPr="00F16CF7" w:rsidRDefault="00046603" w:rsidP="00046603">
      <w:pPr>
        <w:spacing w:line="480" w:lineRule="auto"/>
        <w:jc w:val="both"/>
        <w:rPr>
          <w:rFonts w:asciiTheme="minorHAnsi" w:hAnsiTheme="minorHAnsi"/>
          <w:b/>
          <w:i/>
          <w:color w:val="000000"/>
          <w:sz w:val="24"/>
          <w:szCs w:val="24"/>
          <w:u w:val="single"/>
        </w:rPr>
      </w:pPr>
      <w:r w:rsidRPr="00F16CF7">
        <w:rPr>
          <w:rFonts w:asciiTheme="minorHAnsi" w:hAnsiTheme="minorHAnsi"/>
          <w:b/>
          <w:color w:val="000000"/>
          <w:sz w:val="24"/>
          <w:szCs w:val="24"/>
          <w:u w:val="single"/>
        </w:rPr>
        <w:t>S2. Bayesian Markov Chain Monte Carlo sampling for estimating reproduction number and overdispersion from contact tracing data</w:t>
      </w:r>
    </w:p>
    <w:p w14:paraId="3A7826D7" w14:textId="77777777" w:rsidR="00046603" w:rsidRPr="002A3022" w:rsidRDefault="00046603" w:rsidP="00046603">
      <w:p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 xml:space="preserve">We implemented a Bayesian Markov Chain Monte Carlo sampling method using the NUTS sampler in </w:t>
      </w:r>
      <w:proofErr w:type="spellStart"/>
      <w:r w:rsidRPr="00F16CF7">
        <w:rPr>
          <w:rFonts w:asciiTheme="minorHAnsi" w:hAnsiTheme="minorHAnsi"/>
          <w:color w:val="000000"/>
          <w:sz w:val="24"/>
          <w:szCs w:val="24"/>
        </w:rPr>
        <w:t>PyStan</w:t>
      </w:r>
      <w:proofErr w:type="spellEnd"/>
      <w:r w:rsidRPr="00F16CF7">
        <w:rPr>
          <w:rFonts w:asciiTheme="minorHAnsi" w:hAnsiTheme="minorHAnsi"/>
          <w:color w:val="000000"/>
          <w:sz w:val="24"/>
          <w:szCs w:val="24"/>
        </w:rPr>
        <w:t xml:space="preserve"> 2.18.0.0 with gamma prior estimates of R and k with mean 2.5 SD 2.0, and mean 0.45 SD 0.1 respectively based on previous studies. </w:t>
      </w:r>
      <w:r w:rsidRPr="00F16CF7">
        <w:rPr>
          <w:rFonts w:asciiTheme="minorHAnsi" w:hAnsiTheme="minorHAnsi"/>
          <w:sz w:val="24"/>
          <w:szCs w:val="24"/>
          <w:vertAlign w:val="superscript"/>
        </w:rPr>
        <w:t>2–5</w:t>
      </w:r>
      <w:r w:rsidRPr="00F16CF7">
        <w:rPr>
          <w:rFonts w:asciiTheme="minorHAnsi" w:hAnsiTheme="minorHAnsi"/>
          <w:color w:val="000000"/>
          <w:sz w:val="24"/>
          <w:szCs w:val="24"/>
        </w:rPr>
        <w:t xml:space="preserve"> 8 chains were parallelly simulated for 5000 iterations and were checked for convergence of </w:t>
      </w:r>
      <w:proofErr w:type="spellStart"/>
      <w:r w:rsidRPr="00F16CF7">
        <w:rPr>
          <w:rFonts w:asciiTheme="minorHAnsi" w:hAnsiTheme="minorHAnsi"/>
          <w:color w:val="000000"/>
          <w:sz w:val="24"/>
          <w:szCs w:val="24"/>
        </w:rPr>
        <w:t>Rhat</w:t>
      </w:r>
      <w:proofErr w:type="spellEnd"/>
      <w:r w:rsidRPr="00F16CF7">
        <w:rPr>
          <w:rFonts w:asciiTheme="minorHAnsi" w:hAnsiTheme="minorHAnsi"/>
          <w:color w:val="000000"/>
          <w:sz w:val="24"/>
          <w:szCs w:val="24"/>
        </w:rPr>
        <w:t xml:space="preserve"> to 1. The first 500 iterations for all chains were discarded as a burn-in period. </w:t>
      </w:r>
    </w:p>
    <w:p w14:paraId="2E76E1C8" w14:textId="77777777" w:rsidR="00046603" w:rsidRPr="00F16CF7" w:rsidRDefault="00046603" w:rsidP="00046603">
      <w:pPr>
        <w:spacing w:line="480" w:lineRule="auto"/>
        <w:rPr>
          <w:rFonts w:asciiTheme="minorHAnsi" w:hAnsiTheme="minorHAnsi"/>
          <w:b/>
          <w:sz w:val="24"/>
          <w:szCs w:val="24"/>
          <w:u w:val="single"/>
        </w:rPr>
      </w:pPr>
      <w:r w:rsidRPr="00F16CF7">
        <w:rPr>
          <w:rFonts w:asciiTheme="minorHAnsi" w:hAnsiTheme="minorHAnsi"/>
          <w:b/>
          <w:sz w:val="24"/>
          <w:szCs w:val="24"/>
          <w:u w:val="single"/>
        </w:rPr>
        <w:t>S3. Determinants of risk of infection among contacts</w:t>
      </w:r>
    </w:p>
    <w:p w14:paraId="21C08562" w14:textId="77777777" w:rsidR="00046603" w:rsidRPr="00F16CF7" w:rsidRDefault="00046603" w:rsidP="00046603">
      <w:pPr>
        <w:spacing w:line="480" w:lineRule="auto"/>
        <w:rPr>
          <w:rFonts w:asciiTheme="minorHAnsi" w:hAnsiTheme="minorHAnsi"/>
          <w:sz w:val="24"/>
          <w:szCs w:val="24"/>
        </w:rPr>
      </w:pPr>
      <w:r w:rsidRPr="00F16CF7">
        <w:rPr>
          <w:rFonts w:asciiTheme="minorHAnsi" w:hAnsiTheme="minorHAnsi"/>
          <w:sz w:val="24"/>
          <w:szCs w:val="24"/>
        </w:rPr>
        <w:t>We fit a Poisson regression model with robust error variance to data on contacts’ recorded infection status (binary outcome: contact infected OR not infected) and attributes of each contact's index cases to estimate adjusted relative risks for infection of contacts as a function of these exposures.</w:t>
      </w:r>
      <w:r w:rsidRPr="00F16CF7">
        <w:rPr>
          <w:rFonts w:asciiTheme="minorHAnsi" w:hAnsiTheme="minorHAnsi"/>
          <w:sz w:val="24"/>
          <w:szCs w:val="24"/>
          <w:vertAlign w:val="superscript"/>
        </w:rPr>
        <w:t>6</w:t>
      </w:r>
      <w:r w:rsidRPr="00F16CF7">
        <w:rPr>
          <w:rFonts w:asciiTheme="minorHAnsi" w:hAnsiTheme="minorHAnsi"/>
          <w:sz w:val="24"/>
          <w:szCs w:val="24"/>
        </w:rPr>
        <w:t xml:space="preserve"> For a subset of this data that included only symptomatic index cases and their contacts, we fit another model which also included the delay from symptom onset to confirmation of the index case (a proxy for delay in case isolation and increasing infectious period spent in community) as a predictor variable. Only high-risk/close contacts were included because the recording of ‘low-risk contact’ status was not deemed reliable in the accessed dataset. </w:t>
      </w:r>
    </w:p>
    <w:p w14:paraId="71C9BE44" w14:textId="77777777" w:rsidR="00046603" w:rsidRPr="00F16CF7" w:rsidRDefault="00046603" w:rsidP="00046603">
      <w:pPr>
        <w:spacing w:line="480" w:lineRule="auto"/>
        <w:rPr>
          <w:rFonts w:asciiTheme="minorHAnsi" w:hAnsiTheme="minorHAnsi"/>
          <w:sz w:val="24"/>
          <w:szCs w:val="24"/>
        </w:rPr>
      </w:pPr>
    </w:p>
    <w:p w14:paraId="63952359" w14:textId="77777777" w:rsidR="00046603" w:rsidRPr="00F16CF7" w:rsidRDefault="00046603" w:rsidP="00046603">
      <w:pPr>
        <w:spacing w:line="480" w:lineRule="auto"/>
        <w:rPr>
          <w:rFonts w:asciiTheme="minorHAnsi" w:hAnsiTheme="minorHAnsi"/>
          <w:b/>
          <w:sz w:val="24"/>
          <w:szCs w:val="24"/>
          <w:u w:val="single"/>
        </w:rPr>
      </w:pPr>
      <w:r w:rsidRPr="00F16CF7">
        <w:rPr>
          <w:rFonts w:asciiTheme="minorHAnsi" w:hAnsiTheme="minorHAnsi"/>
          <w:b/>
          <w:sz w:val="24"/>
          <w:szCs w:val="24"/>
          <w:u w:val="single"/>
        </w:rPr>
        <w:t xml:space="preserve">S4. Determinants of presence of clinical symptoms in SARS-CoV-2 infection </w:t>
      </w:r>
    </w:p>
    <w:p w14:paraId="6B79F5DB" w14:textId="77777777" w:rsidR="00046603" w:rsidRPr="00F16CF7" w:rsidRDefault="00046603" w:rsidP="00046603">
      <w:pPr>
        <w:spacing w:line="480" w:lineRule="auto"/>
        <w:rPr>
          <w:rFonts w:asciiTheme="minorHAnsi" w:hAnsiTheme="minorHAnsi"/>
          <w:sz w:val="24"/>
          <w:szCs w:val="24"/>
        </w:rPr>
      </w:pPr>
      <w:r w:rsidRPr="00F16CF7">
        <w:rPr>
          <w:rFonts w:asciiTheme="minorHAnsi" w:hAnsiTheme="minorHAnsi"/>
          <w:sz w:val="24"/>
          <w:szCs w:val="24"/>
        </w:rPr>
        <w:t>We fit a Poisson regression model with robust error variance to data on confirmed COVID-19 cases’ symptom status (binary outcome: case is symptomatic OR asymptomatic) and attributes of each case and their index case (where known) to estimate adjusted relative risks for developing symptoms in a COVID-19 case as a function of these exposures.</w:t>
      </w:r>
      <w:r w:rsidRPr="00F16CF7">
        <w:rPr>
          <w:rFonts w:asciiTheme="minorHAnsi" w:hAnsiTheme="minorHAnsi"/>
          <w:sz w:val="24"/>
          <w:szCs w:val="24"/>
          <w:vertAlign w:val="superscript"/>
        </w:rPr>
        <w:t>6</w:t>
      </w:r>
    </w:p>
    <w:p w14:paraId="40D9BB4F" w14:textId="77777777" w:rsidR="00046603" w:rsidRPr="00F16CF7" w:rsidRDefault="00046603" w:rsidP="00046603">
      <w:pPr>
        <w:spacing w:line="480" w:lineRule="auto"/>
        <w:rPr>
          <w:rFonts w:asciiTheme="minorHAnsi" w:hAnsiTheme="minorHAnsi"/>
          <w:sz w:val="24"/>
          <w:szCs w:val="24"/>
        </w:rPr>
      </w:pPr>
    </w:p>
    <w:p w14:paraId="7BF39D23" w14:textId="77777777" w:rsidR="00046603" w:rsidRPr="00F16CF7" w:rsidRDefault="00046603" w:rsidP="00046603">
      <w:pPr>
        <w:spacing w:line="480" w:lineRule="auto"/>
        <w:rPr>
          <w:rFonts w:asciiTheme="minorHAnsi" w:hAnsiTheme="minorHAnsi"/>
          <w:b/>
          <w:sz w:val="24"/>
          <w:szCs w:val="24"/>
          <w:u w:val="single"/>
        </w:rPr>
      </w:pPr>
      <w:r w:rsidRPr="00F16CF7">
        <w:rPr>
          <w:rFonts w:asciiTheme="minorHAnsi" w:hAnsiTheme="minorHAnsi"/>
          <w:b/>
          <w:sz w:val="24"/>
          <w:szCs w:val="24"/>
          <w:u w:val="single"/>
        </w:rPr>
        <w:t xml:space="preserve">S5. Minimizing bias due to incomplete contact tracing </w:t>
      </w:r>
    </w:p>
    <w:p w14:paraId="4BE046F1" w14:textId="77777777" w:rsidR="00046603" w:rsidRPr="00F16CF7" w:rsidRDefault="00046603" w:rsidP="00046603">
      <w:pPr>
        <w:spacing w:line="480" w:lineRule="auto"/>
        <w:rPr>
          <w:rFonts w:asciiTheme="minorHAnsi" w:hAnsiTheme="minorHAnsi"/>
          <w:sz w:val="24"/>
          <w:szCs w:val="24"/>
        </w:rPr>
      </w:pPr>
      <w:r w:rsidRPr="00F16CF7">
        <w:rPr>
          <w:rFonts w:asciiTheme="minorHAnsi" w:hAnsiTheme="minorHAnsi"/>
          <w:sz w:val="24"/>
          <w:szCs w:val="24"/>
        </w:rPr>
        <w:t xml:space="preserve">The accuracy of reproduction number (R) and overdispersion (k) estimates from data depends on the completeness and adequacy of the contact tracing efforts during the sampled time. For example, cases with zero linked secondary cases in the dataset could either be due to no further transmission from the case after adequate tracing, or due to inadequate or absent contact tracing of the case leading to failure of identification of secondary cases. To account for the possible bias arising out of inadequate contact tracing specially at later stages of the study, we estimated R and k for multiple time periods, and for cases from each category and from major clusters separately. </w:t>
      </w:r>
    </w:p>
    <w:p w14:paraId="760E75DF" w14:textId="77777777" w:rsidR="00046603" w:rsidRPr="00F16CF7" w:rsidRDefault="00046603" w:rsidP="00046603">
      <w:pPr>
        <w:spacing w:line="480" w:lineRule="auto"/>
        <w:rPr>
          <w:rFonts w:asciiTheme="minorHAnsi" w:hAnsiTheme="minorHAnsi"/>
          <w:sz w:val="24"/>
          <w:szCs w:val="24"/>
        </w:rPr>
      </w:pPr>
    </w:p>
    <w:p w14:paraId="23CCE28D" w14:textId="77777777" w:rsidR="00046603" w:rsidRPr="00F16CF7" w:rsidRDefault="00046603" w:rsidP="00046603">
      <w:pPr>
        <w:spacing w:line="480" w:lineRule="auto"/>
        <w:rPr>
          <w:rFonts w:asciiTheme="minorHAnsi" w:hAnsiTheme="minorHAnsi"/>
          <w:sz w:val="24"/>
          <w:szCs w:val="24"/>
        </w:rPr>
      </w:pPr>
      <w:r w:rsidRPr="00F16CF7">
        <w:rPr>
          <w:rFonts w:asciiTheme="minorHAnsi" w:hAnsiTheme="minorHAnsi"/>
          <w:color w:val="000000"/>
          <w:sz w:val="24"/>
          <w:szCs w:val="24"/>
        </w:rPr>
        <w:t xml:space="preserve">Three cut-off dates are evaluated in table S2 and figure S2, with the following rationale. </w:t>
      </w:r>
    </w:p>
    <w:p w14:paraId="061BFC7D" w14:textId="77777777" w:rsidR="00046603" w:rsidRPr="00F16CF7" w:rsidRDefault="00046603" w:rsidP="00046603">
      <w:pPr>
        <w:numPr>
          <w:ilvl w:val="0"/>
          <w:numId w:val="3"/>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1 June was the last date for which the detailed IDSP dataset was available (refer to “Data sources” under Methods section).</w:t>
      </w:r>
    </w:p>
    <w:p w14:paraId="7AB202E6" w14:textId="77777777" w:rsidR="00046603" w:rsidRPr="00F16CF7" w:rsidRDefault="00046603" w:rsidP="00046603">
      <w:pPr>
        <w:numPr>
          <w:ilvl w:val="0"/>
          <w:numId w:val="3"/>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As the epidemic progressed, contact tracing systems were stretched leading to inadequate identification or follow-up of contacts of some cases. We assumed that prevailing contact tracing was adequate if the origin of at least 80% of daily cases was known.</w:t>
      </w:r>
      <w:r w:rsidRPr="00F16CF7">
        <w:rPr>
          <w:rFonts w:asciiTheme="minorHAnsi" w:hAnsiTheme="minorHAnsi"/>
          <w:sz w:val="24"/>
          <w:szCs w:val="24"/>
          <w:vertAlign w:val="superscript"/>
        </w:rPr>
        <w:t>7,8</w:t>
      </w:r>
      <w:r w:rsidRPr="00F16CF7">
        <w:rPr>
          <w:rFonts w:asciiTheme="minorHAnsi" w:hAnsiTheme="minorHAnsi"/>
          <w:color w:val="000000"/>
          <w:sz w:val="24"/>
          <w:szCs w:val="24"/>
        </w:rPr>
        <w:t xml:space="preserve"> This threshold was breached consistently (for more than seven days in a row) after 13 June. This became our second cut-off date for R and k analysis (to minimize bias due to inadequate tracing after this date). </w:t>
      </w:r>
    </w:p>
    <w:p w14:paraId="1A263A4D" w14:textId="77777777" w:rsidR="00046603" w:rsidRDefault="00046603" w:rsidP="00046603">
      <w:pPr>
        <w:numPr>
          <w:ilvl w:val="0"/>
          <w:numId w:val="3"/>
        </w:numPr>
        <w:spacing w:line="480" w:lineRule="auto"/>
        <w:jc w:val="both"/>
        <w:rPr>
          <w:rFonts w:asciiTheme="minorHAnsi" w:hAnsiTheme="minorHAnsi"/>
          <w:color w:val="000000"/>
          <w:sz w:val="24"/>
          <w:szCs w:val="24"/>
        </w:rPr>
      </w:pPr>
      <w:r w:rsidRPr="00F16CF7">
        <w:rPr>
          <w:rFonts w:asciiTheme="minorHAnsi" w:hAnsiTheme="minorHAnsi"/>
          <w:color w:val="000000"/>
          <w:sz w:val="24"/>
          <w:szCs w:val="24"/>
        </w:rPr>
        <w:t>21 July was the last date for which the state government bulletins were available with individual case details (refer to “Data sources” under Methods section).</w:t>
      </w:r>
    </w:p>
    <w:p w14:paraId="4797627B" w14:textId="77777777" w:rsidR="00046603" w:rsidRPr="002A3022" w:rsidRDefault="00046603" w:rsidP="00046603">
      <w:pPr>
        <w:spacing w:line="480" w:lineRule="auto"/>
        <w:ind w:left="720"/>
        <w:jc w:val="both"/>
        <w:rPr>
          <w:rFonts w:asciiTheme="minorHAnsi" w:hAnsiTheme="minorHAnsi"/>
          <w:color w:val="000000"/>
          <w:sz w:val="24"/>
          <w:szCs w:val="24"/>
        </w:rPr>
      </w:pPr>
    </w:p>
    <w:p w14:paraId="15A9DF9A" w14:textId="77777777" w:rsidR="00046603" w:rsidRPr="00F16CF7" w:rsidRDefault="00046603" w:rsidP="00046603">
      <w:pPr>
        <w:spacing w:line="480" w:lineRule="auto"/>
        <w:rPr>
          <w:rFonts w:asciiTheme="minorHAnsi" w:hAnsiTheme="minorHAnsi"/>
          <w:b/>
          <w:sz w:val="24"/>
          <w:szCs w:val="24"/>
          <w:u w:val="single"/>
        </w:rPr>
      </w:pPr>
      <w:r w:rsidRPr="00F16CF7">
        <w:rPr>
          <w:rFonts w:asciiTheme="minorHAnsi" w:hAnsiTheme="minorHAnsi"/>
          <w:b/>
          <w:sz w:val="24"/>
          <w:szCs w:val="24"/>
          <w:u w:val="single"/>
        </w:rPr>
        <w:t>S6. Additional details on surveillance and tracing methods utilized by the state of Karnataka, India</w:t>
      </w:r>
    </w:p>
    <w:p w14:paraId="30F3E565" w14:textId="77777777" w:rsidR="00046603" w:rsidRPr="00F16CF7" w:rsidRDefault="00046603" w:rsidP="00046603">
      <w:pPr>
        <w:spacing w:line="480" w:lineRule="auto"/>
        <w:rPr>
          <w:rFonts w:asciiTheme="minorHAnsi" w:hAnsiTheme="minorHAnsi"/>
          <w:sz w:val="24"/>
          <w:szCs w:val="24"/>
        </w:rPr>
      </w:pPr>
      <w:r w:rsidRPr="00F16CF7">
        <w:rPr>
          <w:rFonts w:asciiTheme="minorHAnsi" w:hAnsiTheme="minorHAnsi"/>
          <w:sz w:val="24"/>
          <w:szCs w:val="24"/>
        </w:rPr>
        <w:t>Karnataka utilised a technology backed multi-sectoral approach to contact tracing with collaboration between health department and law enforcement personnel to effectively trace and track cases. Innovations in quarantine enforcement included a Quarantine Watch mobile app and community based Mobile Squads to monitor contacts in quarantine. It was made mandatory for all returnees and travellers coming to Karnataka to register on a web portal, which enabled comprehensive screening at all entry points and adequate follow up after entry. Additionally, the state carried out a physical and phone-based survey which covered 15M out of 17M households in Karnataka to identify and protect high-risk populations including the elderly, pregnant females, persons with comorbidities, and persons with an ILI or SARI case profile.</w:t>
      </w:r>
    </w:p>
    <w:p w14:paraId="17B4345A" w14:textId="77777777" w:rsidR="00046603" w:rsidRPr="00F16CF7" w:rsidRDefault="00046603" w:rsidP="00046603">
      <w:pPr>
        <w:rPr>
          <w:rFonts w:asciiTheme="minorHAnsi" w:hAnsiTheme="minorHAnsi"/>
          <w:sz w:val="24"/>
          <w:szCs w:val="24"/>
        </w:rPr>
      </w:pPr>
    </w:p>
    <w:p w14:paraId="7749204E" w14:textId="77777777" w:rsidR="00046603" w:rsidRPr="00F16CF7" w:rsidRDefault="00046603" w:rsidP="00046603">
      <w:pPr>
        <w:spacing w:before="240" w:after="240" w:line="240" w:lineRule="auto"/>
        <w:jc w:val="both"/>
        <w:rPr>
          <w:rFonts w:asciiTheme="minorHAnsi" w:hAnsiTheme="minorHAnsi"/>
          <w:b/>
          <w:color w:val="000000"/>
          <w:sz w:val="24"/>
          <w:szCs w:val="24"/>
        </w:rPr>
      </w:pPr>
      <w:r w:rsidRPr="00F16CF7">
        <w:rPr>
          <w:rFonts w:asciiTheme="minorHAnsi" w:hAnsiTheme="minorHAnsi"/>
          <w:b/>
          <w:color w:val="000000"/>
          <w:sz w:val="24"/>
          <w:szCs w:val="24"/>
        </w:rPr>
        <w:t xml:space="preserve">Table S1. Criteria for testing of COVID-19 in various versions of the recommended strategy by the Indian Council of Medical Research (ICMR) </w:t>
      </w:r>
      <w:r w:rsidRPr="00F16CF7">
        <w:rPr>
          <w:rFonts w:asciiTheme="minorHAnsi" w:hAnsiTheme="minorHAnsi"/>
          <w:sz w:val="24"/>
          <w:szCs w:val="24"/>
          <w:vertAlign w:val="superscript"/>
        </w:rPr>
        <w:t>9</w:t>
      </w:r>
    </w:p>
    <w:tbl>
      <w:tblPr>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5"/>
        <w:gridCol w:w="833"/>
        <w:gridCol w:w="861"/>
        <w:gridCol w:w="861"/>
        <w:gridCol w:w="699"/>
        <w:gridCol w:w="661"/>
      </w:tblGrid>
      <w:tr w:rsidR="00046603" w:rsidRPr="00F16CF7" w14:paraId="5213D68F" w14:textId="77777777" w:rsidTr="00920604">
        <w:tc>
          <w:tcPr>
            <w:tcW w:w="5425"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B6958B4" w14:textId="77777777" w:rsidR="00046603" w:rsidRPr="00F16CF7" w:rsidRDefault="00046603" w:rsidP="00920604">
            <w:pPr>
              <w:pBdr>
                <w:top w:val="nil"/>
                <w:left w:val="nil"/>
                <w:bottom w:val="nil"/>
                <w:right w:val="nil"/>
                <w:between w:val="nil"/>
              </w:pBdr>
              <w:rPr>
                <w:rFonts w:asciiTheme="minorHAnsi" w:hAnsiTheme="minorHAnsi"/>
                <w:b/>
                <w:color w:val="000000"/>
              </w:rPr>
            </w:pPr>
          </w:p>
        </w:tc>
        <w:tc>
          <w:tcPr>
            <w:tcW w:w="833"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37CE1B6"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v1</w:t>
            </w:r>
          </w:p>
        </w:tc>
        <w:tc>
          <w:tcPr>
            <w:tcW w:w="8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8EBC150"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v2</w:t>
            </w:r>
          </w:p>
        </w:tc>
        <w:tc>
          <w:tcPr>
            <w:tcW w:w="8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5763C465"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v3</w:t>
            </w:r>
          </w:p>
        </w:tc>
        <w:tc>
          <w:tcPr>
            <w:tcW w:w="699"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9724896"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v4</w:t>
            </w:r>
          </w:p>
        </w:tc>
        <w:tc>
          <w:tcPr>
            <w:tcW w:w="6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0575991"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v5</w:t>
            </w:r>
          </w:p>
        </w:tc>
      </w:tr>
      <w:tr w:rsidR="00046603" w:rsidRPr="00F16CF7" w14:paraId="72270B8F" w14:textId="77777777" w:rsidTr="00920604">
        <w:tc>
          <w:tcPr>
            <w:tcW w:w="5425"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5E1AFF58" w14:textId="77777777" w:rsidR="00046603" w:rsidRPr="00F16CF7" w:rsidRDefault="00046603" w:rsidP="00920604">
            <w:pPr>
              <w:pBdr>
                <w:top w:val="nil"/>
                <w:left w:val="nil"/>
                <w:bottom w:val="nil"/>
                <w:right w:val="nil"/>
                <w:between w:val="nil"/>
              </w:pBdr>
              <w:rPr>
                <w:rFonts w:asciiTheme="minorHAnsi" w:hAnsiTheme="minorHAnsi"/>
                <w:b/>
                <w:color w:val="000000"/>
              </w:rPr>
            </w:pPr>
          </w:p>
        </w:tc>
        <w:tc>
          <w:tcPr>
            <w:tcW w:w="833"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CC2B32D"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9 March</w:t>
            </w:r>
          </w:p>
        </w:tc>
        <w:tc>
          <w:tcPr>
            <w:tcW w:w="8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6460A7E0"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17 March</w:t>
            </w:r>
          </w:p>
        </w:tc>
        <w:tc>
          <w:tcPr>
            <w:tcW w:w="8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6B15371B"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20 March</w:t>
            </w:r>
          </w:p>
        </w:tc>
        <w:tc>
          <w:tcPr>
            <w:tcW w:w="699"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7EFF4E1"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9 April</w:t>
            </w:r>
          </w:p>
        </w:tc>
        <w:tc>
          <w:tcPr>
            <w:tcW w:w="66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3B922F22"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18 May</w:t>
            </w:r>
          </w:p>
        </w:tc>
      </w:tr>
      <w:tr w:rsidR="00046603" w:rsidRPr="00F16CF7" w14:paraId="67D866CB"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34F7A"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1. All symptomatic (ILI symptoms) individuals with a history of international travel in the last 14 days.</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CF621"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B1EA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42EF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A469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3FE8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41049A81" w14:textId="77777777" w:rsidTr="00920604">
        <w:trPr>
          <w:trHeight w:val="213"/>
        </w:trPr>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C6D35"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2. All symptomatic (ILI symptoms) contacts of laboratory confirmed cases.</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686EF"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3624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D32E1"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59E82"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EA09D"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43E752E7"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80DD1"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3. All symptomatic (ILI symptoms) health care workers / frontline workers involved in containment and mitigation of COVID19.</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70BA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6E1C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F8C0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B6CAB"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48F3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6389864A"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43B04"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4. All patients of Severe Acute Respiratory Infection (SARI).</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8CCC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52E09"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3E22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754E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FC807"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2F8C25C0"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1A53E"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5. Asymptomatic direct and high-risk contacts of a confirmed case (to be tested once between day 5 and day 10 of coming into contact). </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D05A1"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DBD9D"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01EDB"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C83D6"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A7F22"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3900516F"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10DE5"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6. All symptomatic ILI within hotspots/containment zones.</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EC73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C2A5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23F4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151B2"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7CC2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0EFD1CB9"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0D1A2"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7. All hospitalised patients who develop ILI symptoms.</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72A8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7BF2F"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E39C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A662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C9857"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2A8267A8"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393E4"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8. All symptomatic ILI among returnees and migrants within 7 days of illness.</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D4B8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72847"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0E21D"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F66D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882E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191E13AF" w14:textId="77777777" w:rsidTr="00920604">
        <w:tc>
          <w:tcPr>
            <w:tcW w:w="5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F5133"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9. No emergency procedure (including deliveries) should be delayed for lack of test. However, sample can be sent for testing if indicated as above (1-8), simultaneously.</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B021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B3FA2"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5148D"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231E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p>
        </w:tc>
        <w:tc>
          <w:tcPr>
            <w:tcW w:w="6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0314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bl>
    <w:p w14:paraId="31E5D33A" w14:textId="77777777" w:rsidR="00046603" w:rsidRPr="00F16CF7" w:rsidRDefault="00046603" w:rsidP="00046603">
      <w:pPr>
        <w:spacing w:before="240" w:after="240" w:line="240" w:lineRule="auto"/>
        <w:jc w:val="both"/>
        <w:rPr>
          <w:rFonts w:asciiTheme="minorHAnsi" w:eastAsia="Arial Unicode MS" w:hAnsiTheme="minorHAnsi" w:cs="Arial Unicode MS"/>
          <w:color w:val="000000"/>
          <w:sz w:val="20"/>
          <w:szCs w:val="20"/>
        </w:rPr>
      </w:pPr>
      <w:r w:rsidRPr="00F16CF7">
        <w:rPr>
          <w:rFonts w:asciiTheme="minorHAnsi" w:eastAsia="Arial Unicode MS" w:hAnsiTheme="minorHAnsi" w:cs="Arial Unicode MS"/>
          <w:color w:val="000000"/>
          <w:sz w:val="20"/>
          <w:szCs w:val="20"/>
        </w:rPr>
        <w:t>ILI case is defined as one with acute respiratory infection with fever ≥ 38</w:t>
      </w:r>
      <w:r w:rsidRPr="00F16CF7">
        <w:rPr>
          <w:rFonts w:ascii="Times New Roman" w:eastAsia="Arial Unicode MS" w:hAnsi="Times New Roman" w:cs="Times New Roman"/>
          <w:color w:val="000000"/>
          <w:sz w:val="20"/>
          <w:szCs w:val="20"/>
        </w:rPr>
        <w:t>◦</w:t>
      </w:r>
      <w:r w:rsidRPr="00F16CF7">
        <w:rPr>
          <w:rFonts w:asciiTheme="minorHAnsi" w:eastAsia="Arial Unicode MS" w:hAnsiTheme="minorHAnsi" w:cs="Arial Unicode MS"/>
          <w:color w:val="000000"/>
          <w:sz w:val="20"/>
          <w:szCs w:val="20"/>
        </w:rPr>
        <w:t>C AND cough.  SARI case is defined as one with acute respiratory infection with fever ≥ 38</w:t>
      </w:r>
      <w:r w:rsidRPr="00F16CF7">
        <w:rPr>
          <w:rFonts w:ascii="Times New Roman" w:eastAsia="Arial Unicode MS" w:hAnsi="Times New Roman" w:cs="Times New Roman"/>
          <w:color w:val="000000"/>
          <w:sz w:val="20"/>
          <w:szCs w:val="20"/>
        </w:rPr>
        <w:t>◦</w:t>
      </w:r>
      <w:r w:rsidRPr="00F16CF7">
        <w:rPr>
          <w:rFonts w:asciiTheme="minorHAnsi" w:eastAsia="Arial Unicode MS" w:hAnsiTheme="minorHAnsi" w:cs="Arial Unicode MS"/>
          <w:color w:val="000000"/>
          <w:sz w:val="20"/>
          <w:szCs w:val="20"/>
        </w:rPr>
        <w:t>C AND cough AND requiring hospitalization. Direct and high-risk contacts include those who live in the same household with a confirmed case.  </w:t>
      </w:r>
    </w:p>
    <w:p w14:paraId="58E529D1" w14:textId="77777777" w:rsidR="00046603" w:rsidRPr="00F16CF7" w:rsidRDefault="00046603" w:rsidP="00046603">
      <w:pPr>
        <w:spacing w:before="240" w:after="240" w:line="240" w:lineRule="auto"/>
        <w:jc w:val="both"/>
        <w:rPr>
          <w:rFonts w:asciiTheme="minorHAnsi" w:hAnsiTheme="minorHAnsi"/>
          <w:sz w:val="24"/>
          <w:szCs w:val="24"/>
        </w:rPr>
      </w:pPr>
    </w:p>
    <w:p w14:paraId="6A821748" w14:textId="77777777" w:rsidR="00046603" w:rsidRPr="00F16CF7" w:rsidRDefault="00046603" w:rsidP="00046603">
      <w:pPr>
        <w:spacing w:before="240" w:after="240" w:line="240" w:lineRule="auto"/>
        <w:jc w:val="both"/>
        <w:rPr>
          <w:rFonts w:asciiTheme="minorHAnsi" w:hAnsiTheme="minorHAnsi"/>
          <w:sz w:val="24"/>
          <w:szCs w:val="24"/>
        </w:rPr>
      </w:pPr>
    </w:p>
    <w:p w14:paraId="1BC415A0" w14:textId="77777777" w:rsidR="00046603" w:rsidRPr="00F16CF7" w:rsidRDefault="00046603" w:rsidP="00046603">
      <w:pPr>
        <w:spacing w:before="240" w:after="240" w:line="240" w:lineRule="auto"/>
        <w:jc w:val="both"/>
        <w:rPr>
          <w:rFonts w:asciiTheme="minorHAnsi" w:hAnsiTheme="minorHAnsi"/>
          <w:sz w:val="24"/>
          <w:szCs w:val="24"/>
        </w:rPr>
      </w:pPr>
    </w:p>
    <w:p w14:paraId="4C7E6740" w14:textId="77777777" w:rsidR="00046603" w:rsidRPr="00F16CF7" w:rsidRDefault="00046603" w:rsidP="00046603">
      <w:pPr>
        <w:spacing w:line="240" w:lineRule="auto"/>
        <w:rPr>
          <w:rFonts w:asciiTheme="minorHAnsi" w:hAnsiTheme="minorHAnsi"/>
          <w:sz w:val="24"/>
          <w:szCs w:val="24"/>
        </w:rPr>
      </w:pPr>
    </w:p>
    <w:p w14:paraId="284BF112" w14:textId="77777777" w:rsidR="00046603" w:rsidRPr="00F16CF7" w:rsidRDefault="00046603" w:rsidP="00046603">
      <w:pPr>
        <w:spacing w:line="240" w:lineRule="auto"/>
        <w:jc w:val="both"/>
        <w:rPr>
          <w:rFonts w:asciiTheme="minorHAnsi" w:hAnsiTheme="minorHAnsi"/>
          <w:b/>
          <w:color w:val="000000"/>
          <w:sz w:val="24"/>
          <w:szCs w:val="24"/>
        </w:rPr>
      </w:pPr>
      <w:r w:rsidRPr="00F16CF7">
        <w:rPr>
          <w:rFonts w:asciiTheme="minorHAnsi" w:hAnsiTheme="minorHAnsi"/>
          <w:b/>
          <w:color w:val="000000"/>
          <w:sz w:val="24"/>
          <w:szCs w:val="24"/>
        </w:rPr>
        <w:t xml:space="preserve">Table S2. Posterior estimates of reproduction number (R) and overdispersion parameter (k) </w:t>
      </w:r>
    </w:p>
    <w:p w14:paraId="046C0BD2" w14:textId="77777777" w:rsidR="00046603" w:rsidRPr="00F16CF7" w:rsidRDefault="00046603" w:rsidP="00046603">
      <w:pPr>
        <w:spacing w:line="240" w:lineRule="auto"/>
        <w:jc w:val="both"/>
        <w:rPr>
          <w:rFonts w:asciiTheme="minorHAnsi" w:hAnsiTheme="minorHAnsi"/>
          <w:sz w:val="32"/>
          <w:szCs w:val="32"/>
        </w:rPr>
      </w:pPr>
    </w:p>
    <w:tbl>
      <w:tblPr>
        <w:tblW w:w="93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0"/>
        <w:gridCol w:w="1266"/>
        <w:gridCol w:w="1404"/>
        <w:gridCol w:w="1266"/>
        <w:gridCol w:w="1404"/>
        <w:gridCol w:w="1266"/>
        <w:gridCol w:w="1404"/>
      </w:tblGrid>
      <w:tr w:rsidR="00046603" w:rsidRPr="00F16CF7" w14:paraId="08B6419E" w14:textId="77777777" w:rsidTr="00920604">
        <w:trPr>
          <w:trHeight w:val="12"/>
          <w:jc w:val="center"/>
        </w:trPr>
        <w:tc>
          <w:tcPr>
            <w:tcW w:w="1330"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00E2752" w14:textId="77777777" w:rsidR="00046603" w:rsidRPr="00F16CF7" w:rsidRDefault="00046603" w:rsidP="00920604">
            <w:pPr>
              <w:pBdr>
                <w:top w:val="nil"/>
                <w:left w:val="nil"/>
                <w:bottom w:val="nil"/>
                <w:right w:val="nil"/>
                <w:between w:val="nil"/>
              </w:pBdr>
              <w:rPr>
                <w:rFonts w:asciiTheme="minorHAnsi" w:hAnsiTheme="minorHAnsi"/>
                <w:b/>
                <w:color w:val="000000"/>
              </w:rPr>
            </w:pPr>
          </w:p>
        </w:tc>
        <w:tc>
          <w:tcPr>
            <w:tcW w:w="2670" w:type="dxa"/>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A0738D2"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Till 1 June (n=3404)</w:t>
            </w:r>
          </w:p>
        </w:tc>
        <w:tc>
          <w:tcPr>
            <w:tcW w:w="2670" w:type="dxa"/>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21BCDCC"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Till 13 June (n=6824)</w:t>
            </w:r>
          </w:p>
        </w:tc>
        <w:tc>
          <w:tcPr>
            <w:tcW w:w="2670" w:type="dxa"/>
            <w:gridSpan w:val="2"/>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FB2C82C"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Till 21 July (n=71068)</w:t>
            </w:r>
          </w:p>
        </w:tc>
      </w:tr>
      <w:tr w:rsidR="00046603" w:rsidRPr="00F16CF7" w14:paraId="73E11D4E" w14:textId="77777777" w:rsidTr="00920604">
        <w:trPr>
          <w:trHeight w:val="12"/>
          <w:jc w:val="center"/>
        </w:trPr>
        <w:tc>
          <w:tcPr>
            <w:tcW w:w="1330"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52FFF7BB" w14:textId="77777777" w:rsidR="00046603" w:rsidRPr="00F16CF7" w:rsidRDefault="00046603" w:rsidP="00920604">
            <w:pPr>
              <w:pBdr>
                <w:top w:val="nil"/>
                <w:left w:val="nil"/>
                <w:bottom w:val="nil"/>
                <w:right w:val="nil"/>
                <w:between w:val="nil"/>
              </w:pBdr>
              <w:rPr>
                <w:rFonts w:asciiTheme="minorHAnsi" w:hAnsiTheme="minorHAnsi"/>
                <w:b/>
                <w:color w:val="000000"/>
              </w:rPr>
            </w:pPr>
          </w:p>
        </w:tc>
        <w:tc>
          <w:tcPr>
            <w:tcW w:w="1266"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0CF96A7"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Reproduction number, R (95% CI)</w:t>
            </w:r>
          </w:p>
        </w:tc>
        <w:tc>
          <w:tcPr>
            <w:tcW w:w="1404"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6D356B6"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Overdispersion parameter, k (95% CI)</w:t>
            </w:r>
          </w:p>
        </w:tc>
        <w:tc>
          <w:tcPr>
            <w:tcW w:w="1266"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24B2805A"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Reproduction number, R (95% CI)</w:t>
            </w:r>
          </w:p>
        </w:tc>
        <w:tc>
          <w:tcPr>
            <w:tcW w:w="1404"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6EF2B676"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Overdispersion parameter, k (95% CI)</w:t>
            </w:r>
          </w:p>
        </w:tc>
        <w:tc>
          <w:tcPr>
            <w:tcW w:w="1266"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04ECECA"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Reproduction number, R (95% CI)</w:t>
            </w:r>
          </w:p>
        </w:tc>
        <w:tc>
          <w:tcPr>
            <w:tcW w:w="1404"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1A601A64" w14:textId="77777777" w:rsidR="00046603" w:rsidRPr="00F16CF7" w:rsidRDefault="00046603" w:rsidP="00920604">
            <w:pPr>
              <w:pBdr>
                <w:top w:val="nil"/>
                <w:left w:val="nil"/>
                <w:bottom w:val="nil"/>
                <w:right w:val="nil"/>
                <w:between w:val="nil"/>
              </w:pBdr>
              <w:jc w:val="right"/>
              <w:rPr>
                <w:rFonts w:asciiTheme="minorHAnsi" w:hAnsiTheme="minorHAnsi"/>
                <w:b/>
                <w:color w:val="000000"/>
              </w:rPr>
            </w:pPr>
            <w:r w:rsidRPr="00F16CF7">
              <w:rPr>
                <w:rFonts w:asciiTheme="minorHAnsi" w:hAnsiTheme="minorHAnsi"/>
                <w:b/>
                <w:color w:val="000000"/>
                <w:sz w:val="20"/>
                <w:szCs w:val="20"/>
              </w:rPr>
              <w:t>Overdispersion parameter, k (95% CI)</w:t>
            </w:r>
          </w:p>
        </w:tc>
      </w:tr>
      <w:tr w:rsidR="00046603" w:rsidRPr="00F16CF7" w14:paraId="436A2A28"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E3545"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 xml:space="preserve">Only cases with confirmed forward contact tracing* (n=956) </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DBE5C5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0.75 (0.62-0.91)</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AE8C83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0.12 (0.11-0.15)</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523AC"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63A7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13E2E9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98F242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r>
      <w:tr w:rsidR="00046603" w:rsidRPr="00F16CF7" w14:paraId="0D29E034"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01965"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All cases</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vAlign w:val="bottom"/>
          </w:tcPr>
          <w:p w14:paraId="623B21DD"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color w:val="000000"/>
                <w:sz w:val="20"/>
                <w:szCs w:val="20"/>
              </w:rPr>
              <w:t>0.32 (0.27-0.38)</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vAlign w:val="bottom"/>
          </w:tcPr>
          <w:p w14:paraId="118F03E3"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color w:val="000000"/>
                <w:sz w:val="20"/>
                <w:szCs w:val="20"/>
              </w:rPr>
              <w:t>0.05 (0.04-0.06)</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4E4D2"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 xml:space="preserve"> 0.23 (0.20-0.26)</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B1F77"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0.04 (0.03-0.04)</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vAlign w:val="bottom"/>
          </w:tcPr>
          <w:p w14:paraId="7092BD2B"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0.19 (0.18-0.20)</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vAlign w:val="bottom"/>
          </w:tcPr>
          <w:p w14:paraId="48700984"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0.04 (0.03-0.04)</w:t>
            </w:r>
          </w:p>
        </w:tc>
      </w:tr>
      <w:tr w:rsidR="00046603" w:rsidRPr="00F16CF7" w14:paraId="5B5F3AE1" w14:textId="77777777" w:rsidTr="00920604">
        <w:trPr>
          <w:jc w:val="center"/>
        </w:trPr>
        <w:tc>
          <w:tcPr>
            <w:tcW w:w="9340" w:type="dxa"/>
            <w:gridSpan w:val="7"/>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1A8AD6CD"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b/>
                <w:color w:val="000000"/>
                <w:sz w:val="20"/>
                <w:szCs w:val="20"/>
              </w:rPr>
              <w:t>Symptomatic status of index case*</w:t>
            </w:r>
          </w:p>
        </w:tc>
      </w:tr>
      <w:tr w:rsidR="00046603" w:rsidRPr="00F16CF7" w14:paraId="7D2D4F76"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2C3B8"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Asymptomatic (n=753)</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3AFB5EF5"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0.41 (0.32-0.52)</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5876B33F"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0.12 (0.09-0.15)</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75459"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BB9B7"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05108417"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5A81B54"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r>
      <w:tr w:rsidR="00046603" w:rsidRPr="00F16CF7" w14:paraId="51B4034A"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E5BED"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Symptomatic (n=203)</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F2968E4"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2.04 (1.56-2.67)</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62A9CBD7"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0.29 (0.23-0.37)</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DEF38"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EF156"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7C0D60B5"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tcPr>
          <w:p w14:paraId="2843F252"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w:t>
            </w:r>
          </w:p>
        </w:tc>
      </w:tr>
      <w:tr w:rsidR="00046603" w:rsidRPr="00F16CF7" w14:paraId="486D085F" w14:textId="77777777" w:rsidTr="00920604">
        <w:trPr>
          <w:trHeight w:val="12"/>
          <w:jc w:val="center"/>
        </w:trPr>
        <w:tc>
          <w:tcPr>
            <w:tcW w:w="9340" w:type="dxa"/>
            <w:gridSpan w:val="7"/>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01EEFD03"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b/>
                <w:color w:val="000000"/>
                <w:sz w:val="20"/>
                <w:szCs w:val="20"/>
              </w:rPr>
              <w:t>Category (case origin)</w:t>
            </w:r>
          </w:p>
        </w:tc>
      </w:tr>
      <w:tr w:rsidR="00046603" w:rsidRPr="00F16CF7" w14:paraId="6F392971" w14:textId="77777777" w:rsidTr="00920604">
        <w:trPr>
          <w:jc w:val="center"/>
        </w:trPr>
        <w:tc>
          <w:tcPr>
            <w:tcW w:w="1330"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19E70BC5"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Imported international</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BB343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0.24 (0.14-0.40)</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BCF364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0.32 (0.19-0.51)</w:t>
            </w:r>
          </w:p>
        </w:tc>
        <w:tc>
          <w:tcPr>
            <w:tcW w:w="1266"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tcPr>
          <w:p w14:paraId="37619416"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0.14 (0.09-0.22)</w:t>
            </w:r>
          </w:p>
        </w:tc>
        <w:tc>
          <w:tcPr>
            <w:tcW w:w="1404"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357AF17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0.29 (0.17-0.46)</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8E94DC"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0.06 (0.04-0.09)</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F196F6"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0.25 (0.14-0.42)</w:t>
            </w:r>
          </w:p>
        </w:tc>
      </w:tr>
      <w:tr w:rsidR="00046603" w:rsidRPr="00F16CF7" w14:paraId="1C928FF3" w14:textId="77777777" w:rsidTr="00920604">
        <w:trPr>
          <w:jc w:val="center"/>
        </w:trPr>
        <w:tc>
          <w:tcPr>
            <w:tcW w:w="1330"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EF7B83A"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Imported domestic</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6383BB"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0.10 (0.07-0.14)</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C15DC0"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0.02 (0.01-0.03)</w:t>
            </w:r>
          </w:p>
        </w:tc>
        <w:tc>
          <w:tcPr>
            <w:tcW w:w="1266"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tcPr>
          <w:p w14:paraId="093646CD"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0.06 (0.04-0.07)</w:t>
            </w:r>
          </w:p>
        </w:tc>
        <w:tc>
          <w:tcPr>
            <w:tcW w:w="1404"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0246E33B"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0.02 (0.01-0.02)</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7F6E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0.07 (0.06-0.08)</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18FC4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0.02 (0.02-0.02)</w:t>
            </w:r>
          </w:p>
        </w:tc>
      </w:tr>
      <w:tr w:rsidR="00046603" w:rsidRPr="00F16CF7" w14:paraId="60A4BBA2" w14:textId="77777777" w:rsidTr="00920604">
        <w:trPr>
          <w:jc w:val="center"/>
        </w:trPr>
        <w:tc>
          <w:tcPr>
            <w:tcW w:w="1330"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3DA92F8D"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Local with known origin</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91F8A2"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0.38 (0.30-0.48)</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FC327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0.12 (0.09-0.15)</w:t>
            </w:r>
          </w:p>
        </w:tc>
        <w:tc>
          <w:tcPr>
            <w:tcW w:w="1266"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tcPr>
          <w:p w14:paraId="46291AB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0.42 (0.35-0.51)</w:t>
            </w:r>
          </w:p>
        </w:tc>
        <w:tc>
          <w:tcPr>
            <w:tcW w:w="1404"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31F267EC"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0.10 (0.08-0.13)</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899E3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0.26 (0.23-0.30)</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987FA9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0.07 (0.06-0.08)</w:t>
            </w:r>
          </w:p>
        </w:tc>
      </w:tr>
      <w:tr w:rsidR="00046603" w:rsidRPr="00F16CF7" w14:paraId="2B5AA7FA" w14:textId="77777777" w:rsidTr="00920604">
        <w:trPr>
          <w:jc w:val="center"/>
        </w:trPr>
        <w:tc>
          <w:tcPr>
            <w:tcW w:w="1330"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2ABF14B6"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Local with unknown origin</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8A624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1.33 (1.06-1.70)</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EA428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0.21 (0.17-0.26)</w:t>
            </w:r>
          </w:p>
        </w:tc>
        <w:tc>
          <w:tcPr>
            <w:tcW w:w="1266" w:type="dxa"/>
            <w:tcBorders>
              <w:top w:val="single" w:sz="8" w:space="0" w:color="000000"/>
              <w:left w:val="single" w:sz="6" w:space="0" w:color="000000"/>
              <w:bottom w:val="single" w:sz="8" w:space="0" w:color="000000"/>
              <w:right w:val="single" w:sz="8" w:space="0" w:color="000000"/>
            </w:tcBorders>
            <w:tcMar>
              <w:top w:w="100" w:type="dxa"/>
              <w:left w:w="100" w:type="dxa"/>
              <w:bottom w:w="100" w:type="dxa"/>
              <w:right w:w="100" w:type="dxa"/>
            </w:tcMar>
          </w:tcPr>
          <w:p w14:paraId="0806CFA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1.04 (0.87-1.25)</w:t>
            </w:r>
          </w:p>
        </w:tc>
        <w:tc>
          <w:tcPr>
            <w:tcW w:w="1404"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0858B301"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0.17 (0.14-0.21)</w:t>
            </w:r>
          </w:p>
        </w:tc>
        <w:tc>
          <w:tcPr>
            <w:tcW w:w="1266"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D7DA7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0.22 (0.20-0.24)</w:t>
            </w:r>
          </w:p>
        </w:tc>
        <w:tc>
          <w:tcPr>
            <w:tcW w:w="1404"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E514C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0.04 (0.03-0.04)</w:t>
            </w:r>
          </w:p>
        </w:tc>
      </w:tr>
      <w:tr w:rsidR="00046603" w:rsidRPr="00F16CF7" w14:paraId="0401DCDD" w14:textId="77777777" w:rsidTr="00920604">
        <w:trPr>
          <w:trHeight w:val="12"/>
          <w:jc w:val="center"/>
        </w:trPr>
        <w:tc>
          <w:tcPr>
            <w:tcW w:w="9340" w:type="dxa"/>
            <w:gridSpan w:val="7"/>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FEAF690"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b/>
                <w:color w:val="000000"/>
                <w:sz w:val="20"/>
                <w:szCs w:val="20"/>
              </w:rPr>
              <w:t>Clusters**</w:t>
            </w:r>
          </w:p>
        </w:tc>
      </w:tr>
      <w:tr w:rsidR="00046603" w:rsidRPr="00F16CF7" w14:paraId="6989153C"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2C900"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Bellary cluster (n=221)</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5E01C"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38D9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B46E7"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BC11F"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C746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1.04 (0.76-1.40)</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9E7A8"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0.23 (0.17-0.30)</w:t>
            </w:r>
          </w:p>
        </w:tc>
      </w:tr>
      <w:tr w:rsidR="00046603" w:rsidRPr="00F16CF7" w14:paraId="2DBE3E8A"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08CB7"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Delhi convention cluster (n=97)</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23343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7768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BE534"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4B789"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1CCB9"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0.84 (0.54-1.25)</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7B9C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0.34 (0.22-0.48)</w:t>
            </w:r>
          </w:p>
        </w:tc>
      </w:tr>
      <w:tr w:rsidR="00046603" w:rsidRPr="00F16CF7" w14:paraId="5715D251"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1FFA8"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Pharmaceutical company cluster (n=76)</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9D3D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05957"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0129A"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6A065"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425AB"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0.80 (0.48-1.29)</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60F4D"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0.32 (0.20-0.46)</w:t>
            </w:r>
          </w:p>
        </w:tc>
      </w:tr>
      <w:tr w:rsidR="00046603" w:rsidRPr="00F16CF7" w14:paraId="10F6C45A" w14:textId="77777777" w:rsidTr="00920604">
        <w:trPr>
          <w:jc w:val="center"/>
        </w:trPr>
        <w:tc>
          <w:tcPr>
            <w:tcW w:w="1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242FE" w14:textId="77777777" w:rsidR="00046603" w:rsidRPr="00F16CF7" w:rsidRDefault="00046603" w:rsidP="00920604">
            <w:pPr>
              <w:pBdr>
                <w:top w:val="nil"/>
                <w:left w:val="nil"/>
                <w:bottom w:val="nil"/>
                <w:right w:val="nil"/>
                <w:between w:val="nil"/>
              </w:pBdr>
              <w:rPr>
                <w:rFonts w:asciiTheme="minorHAnsi" w:hAnsiTheme="minorHAnsi"/>
                <w:color w:val="000000"/>
              </w:rPr>
            </w:pPr>
            <w:r w:rsidRPr="00F16CF7">
              <w:rPr>
                <w:rFonts w:asciiTheme="minorHAnsi" w:hAnsiTheme="minorHAnsi"/>
                <w:color w:val="000000"/>
                <w:sz w:val="20"/>
                <w:szCs w:val="20"/>
              </w:rPr>
              <w:t>All three clusters (n=394)</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0F4BF"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A219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6C43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34F12"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color w:val="000000"/>
                <w:sz w:val="20"/>
                <w:szCs w:val="20"/>
              </w:rPr>
              <w:t>-</w:t>
            </w:r>
          </w:p>
        </w:tc>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D497E"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0.91 (0.72-1.15)</w:t>
            </w:r>
          </w:p>
        </w:tc>
        <w:tc>
          <w:tcPr>
            <w:tcW w:w="1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94C73" w14:textId="77777777" w:rsidR="00046603" w:rsidRPr="00F16CF7" w:rsidRDefault="00046603" w:rsidP="00920604">
            <w:pPr>
              <w:pBdr>
                <w:top w:val="nil"/>
                <w:left w:val="nil"/>
                <w:bottom w:val="nil"/>
                <w:right w:val="nil"/>
                <w:between w:val="nil"/>
              </w:pBdr>
              <w:jc w:val="right"/>
              <w:rPr>
                <w:rFonts w:asciiTheme="minorHAnsi" w:hAnsiTheme="minorHAnsi"/>
                <w:color w:val="000000"/>
              </w:rPr>
            </w:pPr>
            <w:r w:rsidRPr="00F16CF7">
              <w:rPr>
                <w:rFonts w:asciiTheme="minorHAnsi" w:hAnsiTheme="minorHAnsi"/>
                <w:b/>
                <w:color w:val="000000"/>
                <w:sz w:val="20"/>
                <w:szCs w:val="20"/>
              </w:rPr>
              <w:t>0.22 (0.17-0.27)</w:t>
            </w:r>
          </w:p>
        </w:tc>
      </w:tr>
    </w:tbl>
    <w:p w14:paraId="65D76BBD" w14:textId="77777777" w:rsidR="00046603" w:rsidRPr="00F16CF7" w:rsidRDefault="00046603" w:rsidP="00046603">
      <w:pPr>
        <w:spacing w:line="240" w:lineRule="auto"/>
        <w:jc w:val="both"/>
        <w:rPr>
          <w:rFonts w:asciiTheme="minorHAnsi" w:hAnsiTheme="minorHAnsi"/>
          <w:b/>
          <w:color w:val="000000"/>
          <w:sz w:val="20"/>
          <w:szCs w:val="20"/>
        </w:rPr>
      </w:pPr>
      <w:r w:rsidRPr="00F16CF7">
        <w:rPr>
          <w:rFonts w:asciiTheme="minorHAnsi" w:hAnsiTheme="minorHAnsi"/>
          <w:b/>
          <w:color w:val="000000"/>
          <w:sz w:val="20"/>
          <w:szCs w:val="20"/>
        </w:rPr>
        <w:t>Estimates in bold are from subgroups where contact tracing was known or expected to be comprehensive, and thus bias to be minimal.</w:t>
      </w:r>
    </w:p>
    <w:p w14:paraId="144D1099" w14:textId="77777777" w:rsidR="00046603" w:rsidRPr="00F16CF7" w:rsidRDefault="00046603" w:rsidP="00046603">
      <w:pPr>
        <w:spacing w:line="240" w:lineRule="auto"/>
        <w:jc w:val="both"/>
        <w:rPr>
          <w:rFonts w:asciiTheme="minorHAnsi" w:hAnsiTheme="minorHAnsi"/>
          <w:sz w:val="24"/>
          <w:szCs w:val="24"/>
        </w:rPr>
      </w:pPr>
      <w:r w:rsidRPr="00F16CF7">
        <w:rPr>
          <w:rFonts w:asciiTheme="minorHAnsi" w:hAnsiTheme="minorHAnsi"/>
          <w:color w:val="000000"/>
          <w:sz w:val="20"/>
          <w:szCs w:val="20"/>
        </w:rPr>
        <w:t>* This data was available only for cases confirmed up to 1 June as part of the IDSP dataset. </w:t>
      </w:r>
    </w:p>
    <w:p w14:paraId="6B827660" w14:textId="77777777" w:rsidR="00046603" w:rsidRPr="00F16CF7" w:rsidRDefault="00046603" w:rsidP="00046603">
      <w:pPr>
        <w:spacing w:line="240" w:lineRule="auto"/>
        <w:jc w:val="both"/>
        <w:rPr>
          <w:rFonts w:asciiTheme="minorHAnsi" w:hAnsiTheme="minorHAnsi"/>
          <w:color w:val="000000"/>
          <w:sz w:val="20"/>
          <w:szCs w:val="20"/>
        </w:rPr>
      </w:pPr>
      <w:r w:rsidRPr="00F16CF7">
        <w:rPr>
          <w:rFonts w:asciiTheme="minorHAnsi" w:hAnsiTheme="minorHAnsi"/>
          <w:color w:val="000000"/>
          <w:sz w:val="20"/>
          <w:szCs w:val="20"/>
        </w:rPr>
        <w:t>** All cases linked to these three clusters were included irrespective of any last date of confirmation. Cases and contacts linked to known clusters are more likely to be followed-up and tested than sporadic cases. As such, estimates from these subgroups are expected to minimize bias when compared to those from the entire dataset.</w:t>
      </w:r>
    </w:p>
    <w:p w14:paraId="070434F1" w14:textId="77777777" w:rsidR="00046603" w:rsidRPr="00F16CF7" w:rsidRDefault="00046603" w:rsidP="00046603">
      <w:pPr>
        <w:spacing w:line="240" w:lineRule="auto"/>
        <w:jc w:val="both"/>
        <w:rPr>
          <w:rFonts w:asciiTheme="minorHAnsi" w:hAnsiTheme="minorHAnsi"/>
          <w:color w:val="000000"/>
          <w:sz w:val="20"/>
          <w:szCs w:val="20"/>
        </w:rPr>
      </w:pPr>
    </w:p>
    <w:p w14:paraId="476FC2F7" w14:textId="77777777" w:rsidR="00046603" w:rsidRPr="00F16CF7" w:rsidRDefault="00046603" w:rsidP="00046603">
      <w:pPr>
        <w:spacing w:line="240" w:lineRule="auto"/>
        <w:jc w:val="both"/>
        <w:rPr>
          <w:rFonts w:asciiTheme="minorHAnsi" w:hAnsiTheme="minorHAnsi"/>
          <w:color w:val="000000"/>
          <w:sz w:val="20"/>
          <w:szCs w:val="20"/>
        </w:rPr>
      </w:pPr>
    </w:p>
    <w:p w14:paraId="2597472A" w14:textId="77777777" w:rsidR="00046603" w:rsidRPr="00F16CF7" w:rsidRDefault="00046603" w:rsidP="00046603">
      <w:pPr>
        <w:spacing w:line="240" w:lineRule="auto"/>
        <w:jc w:val="both"/>
        <w:rPr>
          <w:rFonts w:asciiTheme="minorHAnsi" w:hAnsiTheme="minorHAnsi"/>
          <w:b/>
          <w:color w:val="000000"/>
          <w:sz w:val="20"/>
          <w:szCs w:val="20"/>
        </w:rPr>
      </w:pPr>
    </w:p>
    <w:p w14:paraId="3791CA09" w14:textId="77777777" w:rsidR="00046603" w:rsidRPr="00F16CF7" w:rsidRDefault="00046603" w:rsidP="00046603">
      <w:pPr>
        <w:spacing w:line="240" w:lineRule="auto"/>
        <w:jc w:val="both"/>
        <w:rPr>
          <w:rFonts w:asciiTheme="minorHAnsi" w:hAnsiTheme="minorHAnsi"/>
          <w:b/>
          <w:color w:val="000000"/>
          <w:sz w:val="24"/>
          <w:szCs w:val="24"/>
        </w:rPr>
      </w:pPr>
      <w:r w:rsidRPr="00F16CF7">
        <w:rPr>
          <w:rFonts w:asciiTheme="minorHAnsi" w:hAnsiTheme="minorHAnsi"/>
          <w:b/>
          <w:color w:val="000000"/>
          <w:sz w:val="24"/>
          <w:szCs w:val="24"/>
        </w:rPr>
        <w:t>Table S3: Serial interval of SARS-CoV-2 estimated by fitting parametric distributions to data</w:t>
      </w:r>
    </w:p>
    <w:p w14:paraId="6F008273" w14:textId="77777777" w:rsidR="00046603" w:rsidRPr="00F16CF7" w:rsidRDefault="00046603" w:rsidP="00046603">
      <w:pPr>
        <w:spacing w:line="240" w:lineRule="auto"/>
        <w:jc w:val="both"/>
        <w:rPr>
          <w:rFonts w:asciiTheme="minorHAnsi" w:hAnsiTheme="minorHAnsi"/>
          <w:sz w:val="32"/>
          <w:szCs w:val="32"/>
        </w:rPr>
      </w:pPr>
    </w:p>
    <w:tbl>
      <w:tblPr>
        <w:tblW w:w="9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23"/>
        <w:gridCol w:w="1503"/>
        <w:gridCol w:w="1651"/>
        <w:gridCol w:w="1526"/>
        <w:gridCol w:w="1503"/>
        <w:gridCol w:w="1834"/>
      </w:tblGrid>
      <w:tr w:rsidR="00046603" w:rsidRPr="00F16CF7" w14:paraId="5D55C6DF" w14:textId="77777777" w:rsidTr="00920604">
        <w:trPr>
          <w:trHeight w:val="159"/>
        </w:trPr>
        <w:tc>
          <w:tcPr>
            <w:tcW w:w="1323"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0199650D" w14:textId="77777777" w:rsidR="00046603" w:rsidRPr="00F16CF7" w:rsidRDefault="00046603" w:rsidP="00920604">
            <w:pPr>
              <w:pBdr>
                <w:top w:val="nil"/>
                <w:left w:val="nil"/>
                <w:bottom w:val="nil"/>
                <w:right w:val="nil"/>
                <w:between w:val="nil"/>
              </w:pBdr>
              <w:rPr>
                <w:rFonts w:asciiTheme="minorHAnsi" w:hAnsiTheme="minorHAnsi"/>
                <w:b/>
                <w:color w:val="000000"/>
                <w:sz w:val="20"/>
                <w:szCs w:val="20"/>
              </w:rPr>
            </w:pPr>
            <w:r w:rsidRPr="00F16CF7">
              <w:rPr>
                <w:rFonts w:asciiTheme="minorHAnsi" w:hAnsiTheme="minorHAnsi"/>
                <w:b/>
                <w:color w:val="000000"/>
                <w:sz w:val="20"/>
                <w:szCs w:val="20"/>
              </w:rPr>
              <w:t>Distribution</w:t>
            </w:r>
          </w:p>
        </w:tc>
        <w:tc>
          <w:tcPr>
            <w:tcW w:w="1503"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4C64D28"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Mean</w:t>
            </w:r>
          </w:p>
        </w:tc>
        <w:tc>
          <w:tcPr>
            <w:tcW w:w="1651"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768AE287"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Standard Deviation</w:t>
            </w:r>
          </w:p>
        </w:tc>
        <w:tc>
          <w:tcPr>
            <w:tcW w:w="1526"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4921491B"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Median</w:t>
            </w:r>
          </w:p>
        </w:tc>
        <w:tc>
          <w:tcPr>
            <w:tcW w:w="1503"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1CFE7896"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IQR</w:t>
            </w:r>
          </w:p>
        </w:tc>
        <w:tc>
          <w:tcPr>
            <w:tcW w:w="1834" w:type="dxa"/>
            <w:tcBorders>
              <w:top w:val="single" w:sz="8" w:space="0" w:color="000000"/>
              <w:left w:val="single" w:sz="8" w:space="0" w:color="000000"/>
              <w:bottom w:val="single" w:sz="8" w:space="0" w:color="000000"/>
              <w:right w:val="single" w:sz="8" w:space="0" w:color="000000"/>
            </w:tcBorders>
            <w:shd w:val="clear" w:color="auto" w:fill="D0CECE"/>
            <w:tcMar>
              <w:top w:w="100" w:type="dxa"/>
              <w:left w:w="100" w:type="dxa"/>
              <w:bottom w:w="100" w:type="dxa"/>
              <w:right w:w="100" w:type="dxa"/>
            </w:tcMar>
          </w:tcPr>
          <w:p w14:paraId="6964DBEB" w14:textId="77777777" w:rsidR="00046603" w:rsidRPr="00F16CF7" w:rsidRDefault="00046603" w:rsidP="00920604">
            <w:pPr>
              <w:pBdr>
                <w:top w:val="nil"/>
                <w:left w:val="nil"/>
                <w:bottom w:val="nil"/>
                <w:right w:val="nil"/>
                <w:between w:val="nil"/>
              </w:pBdr>
              <w:jc w:val="right"/>
              <w:rPr>
                <w:rFonts w:asciiTheme="minorHAnsi" w:hAnsiTheme="minorHAnsi"/>
                <w:b/>
                <w:color w:val="000000"/>
                <w:sz w:val="20"/>
                <w:szCs w:val="20"/>
              </w:rPr>
            </w:pPr>
            <w:r w:rsidRPr="00F16CF7">
              <w:rPr>
                <w:rFonts w:asciiTheme="minorHAnsi" w:hAnsiTheme="minorHAnsi"/>
                <w:b/>
                <w:color w:val="000000"/>
                <w:sz w:val="20"/>
                <w:szCs w:val="20"/>
              </w:rPr>
              <w:t>Goodness of fit (AIC)*</w:t>
            </w:r>
          </w:p>
        </w:tc>
      </w:tr>
      <w:tr w:rsidR="00046603" w:rsidRPr="00F16CF7" w14:paraId="318EA4DB" w14:textId="77777777" w:rsidTr="00920604">
        <w:trPr>
          <w:trHeight w:val="12"/>
        </w:trPr>
        <w:tc>
          <w:tcPr>
            <w:tcW w:w="9340" w:type="dxa"/>
            <w:gridSpan w:val="6"/>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EBB468F" w14:textId="77777777" w:rsidR="00046603" w:rsidRPr="00F16CF7" w:rsidRDefault="00046603" w:rsidP="00920604">
            <w:pPr>
              <w:pBdr>
                <w:top w:val="nil"/>
                <w:left w:val="nil"/>
                <w:bottom w:val="nil"/>
                <w:right w:val="nil"/>
                <w:between w:val="nil"/>
              </w:pBdr>
              <w:rPr>
                <w:rFonts w:asciiTheme="minorHAnsi" w:hAnsiTheme="minorHAnsi"/>
                <w:b/>
                <w:color w:val="000000"/>
                <w:sz w:val="20"/>
                <w:szCs w:val="20"/>
              </w:rPr>
            </w:pPr>
            <w:r w:rsidRPr="00F16CF7">
              <w:rPr>
                <w:rFonts w:asciiTheme="minorHAnsi" w:hAnsiTheme="minorHAnsi"/>
                <w:b/>
                <w:color w:val="000000"/>
                <w:sz w:val="20"/>
                <w:szCs w:val="20"/>
              </w:rPr>
              <w:t>All values of serial interval (53 pairs)</w:t>
            </w:r>
          </w:p>
        </w:tc>
      </w:tr>
      <w:tr w:rsidR="00046603" w:rsidRPr="00F16CF7" w14:paraId="6FE7C46D" w14:textId="77777777" w:rsidTr="00920604">
        <w:trPr>
          <w:trHeight w:val="12"/>
        </w:trPr>
        <w:tc>
          <w:tcPr>
            <w:tcW w:w="1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73548"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Gamma</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3EF2F"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5.528 (4.585-6.528)</w:t>
            </w:r>
          </w:p>
        </w:tc>
        <w:tc>
          <w:tcPr>
            <w:tcW w:w="1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1BCAB9"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3.475 (2.590-4.265)</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CDD38"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5.323 (4.412-6.296)</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F8827"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4.661 (3.482-5.706)</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74611"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-277.32</w:t>
            </w:r>
          </w:p>
        </w:tc>
      </w:tr>
      <w:tr w:rsidR="00046603" w:rsidRPr="00F16CF7" w14:paraId="4C71D38A" w14:textId="77777777" w:rsidTr="00920604">
        <w:trPr>
          <w:trHeight w:val="12"/>
        </w:trPr>
        <w:tc>
          <w:tcPr>
            <w:tcW w:w="1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78A07"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Lognormal</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6EEE9"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5.521 (4.578-6.525)</w:t>
            </w:r>
          </w:p>
        </w:tc>
        <w:tc>
          <w:tcPr>
            <w:tcW w:w="1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8153E"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3.466 (2.593-4.263)</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3D8FF"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5.220 (4.332-6.176)</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87094"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4.579 (3.454-5.583)</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338B3F"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-275.71</w:t>
            </w:r>
          </w:p>
        </w:tc>
      </w:tr>
      <w:tr w:rsidR="00046603" w:rsidRPr="00F16CF7" w14:paraId="4FD7ECCB" w14:textId="77777777" w:rsidTr="00920604">
        <w:trPr>
          <w:trHeight w:val="12"/>
        </w:trPr>
        <w:tc>
          <w:tcPr>
            <w:tcW w:w="1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D454D"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Weibull</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87196"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5.377 (4.450-6.421)</w:t>
            </w:r>
          </w:p>
        </w:tc>
        <w:tc>
          <w:tcPr>
            <w:tcW w:w="1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A86CB"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4.303 (3.050-5.112)</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20AF7"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5.622 (4.698-6.672)</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B6AD1"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5.882 (4.080-7.052)</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D998A"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-291.33</w:t>
            </w:r>
          </w:p>
        </w:tc>
      </w:tr>
      <w:tr w:rsidR="00046603" w:rsidRPr="00F16CF7" w14:paraId="13D229AF" w14:textId="77777777" w:rsidTr="00920604">
        <w:trPr>
          <w:trHeight w:val="12"/>
        </w:trPr>
        <w:tc>
          <w:tcPr>
            <w:tcW w:w="9340" w:type="dxa"/>
            <w:gridSpan w:val="6"/>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29A40149" w14:textId="77777777" w:rsidR="00046603" w:rsidRPr="00F16CF7" w:rsidRDefault="00046603" w:rsidP="00920604">
            <w:pPr>
              <w:pBdr>
                <w:top w:val="nil"/>
                <w:left w:val="nil"/>
                <w:bottom w:val="nil"/>
                <w:right w:val="nil"/>
                <w:between w:val="nil"/>
              </w:pBdr>
              <w:rPr>
                <w:rFonts w:asciiTheme="minorHAnsi" w:hAnsiTheme="minorHAnsi"/>
                <w:b/>
                <w:color w:val="000000"/>
                <w:sz w:val="20"/>
                <w:szCs w:val="20"/>
              </w:rPr>
            </w:pPr>
            <w:r w:rsidRPr="00F16CF7">
              <w:rPr>
                <w:rFonts w:asciiTheme="minorHAnsi" w:hAnsiTheme="minorHAnsi"/>
                <w:b/>
                <w:color w:val="000000"/>
                <w:sz w:val="20"/>
                <w:szCs w:val="20"/>
              </w:rPr>
              <w:t>Only positive values of serial interval (51 pairs)</w:t>
            </w:r>
          </w:p>
        </w:tc>
      </w:tr>
      <w:tr w:rsidR="00046603" w:rsidRPr="00F16CF7" w14:paraId="0F7C43C8" w14:textId="77777777" w:rsidTr="00920604">
        <w:trPr>
          <w:trHeight w:val="294"/>
        </w:trPr>
        <w:tc>
          <w:tcPr>
            <w:tcW w:w="1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5E217"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Gamma</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F32B9"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5.880 (4.980-6.880)</w:t>
            </w:r>
          </w:p>
        </w:tc>
        <w:tc>
          <w:tcPr>
            <w:tcW w:w="1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996B0"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3.304 (2.437-4.150)</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694BF"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5.274 (4.479-6.186)</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54B6C"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4.198 (3.152-5.190)</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B6346"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-246.03</w:t>
            </w:r>
          </w:p>
        </w:tc>
      </w:tr>
      <w:tr w:rsidR="00046603" w:rsidRPr="00F16CF7" w14:paraId="1E3752D5" w14:textId="77777777" w:rsidTr="00920604">
        <w:trPr>
          <w:trHeight w:val="12"/>
        </w:trPr>
        <w:tc>
          <w:tcPr>
            <w:tcW w:w="1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110D8"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Lognormal</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0095C"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5.967 (5.053-6.994)</w:t>
            </w:r>
          </w:p>
        </w:tc>
        <w:tc>
          <w:tcPr>
            <w:tcW w:w="1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3CE90"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3.940 (2.719-5.302)</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83060"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4.980 (4.203-5.865)</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47FFC"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4.152 (3.129-5.126)</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EA75D"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-247.6</w:t>
            </w:r>
          </w:p>
        </w:tc>
      </w:tr>
      <w:tr w:rsidR="00046603" w:rsidRPr="00F16CF7" w14:paraId="24DC7A37" w14:textId="77777777" w:rsidTr="00920604">
        <w:trPr>
          <w:trHeight w:val="12"/>
        </w:trPr>
        <w:tc>
          <w:tcPr>
            <w:tcW w:w="1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18A1F" w14:textId="77777777" w:rsidR="00046603" w:rsidRPr="00F16CF7" w:rsidRDefault="00046603" w:rsidP="00920604">
            <w:pPr>
              <w:pBdr>
                <w:top w:val="nil"/>
                <w:left w:val="nil"/>
                <w:bottom w:val="nil"/>
                <w:right w:val="nil"/>
                <w:between w:val="nil"/>
              </w:pBdr>
              <w:rPr>
                <w:rFonts w:asciiTheme="minorHAnsi" w:hAnsiTheme="minorHAnsi"/>
                <w:color w:val="000000"/>
                <w:sz w:val="20"/>
                <w:szCs w:val="20"/>
              </w:rPr>
            </w:pPr>
            <w:r w:rsidRPr="00F16CF7">
              <w:rPr>
                <w:rFonts w:asciiTheme="minorHAnsi" w:hAnsiTheme="minorHAnsi"/>
                <w:color w:val="000000"/>
                <w:sz w:val="20"/>
                <w:szCs w:val="20"/>
              </w:rPr>
              <w:t>Weibull</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CB1CF"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5.905 (4.992-6.917)</w:t>
            </w:r>
          </w:p>
        </w:tc>
        <w:tc>
          <w:tcPr>
            <w:tcW w:w="1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E3748"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3.328 (2.426-4.123)</w:t>
            </w:r>
          </w:p>
        </w:tc>
        <w:tc>
          <w:tcPr>
            <w:tcW w:w="1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B79E8"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5.446 (4.624-6.409)</w:t>
            </w:r>
          </w:p>
        </w:tc>
        <w:tc>
          <w:tcPr>
            <w:tcW w:w="15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08E53"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4.561 (3.390-5.531)</w:t>
            </w:r>
          </w:p>
        </w:tc>
        <w:tc>
          <w:tcPr>
            <w:tcW w:w="18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0E635" w14:textId="77777777" w:rsidR="00046603" w:rsidRPr="00F16CF7" w:rsidRDefault="00046603" w:rsidP="00920604">
            <w:pPr>
              <w:pBdr>
                <w:top w:val="nil"/>
                <w:left w:val="nil"/>
                <w:bottom w:val="nil"/>
                <w:right w:val="nil"/>
                <w:between w:val="nil"/>
              </w:pBdr>
              <w:jc w:val="right"/>
              <w:rPr>
                <w:rFonts w:asciiTheme="minorHAnsi" w:hAnsiTheme="minorHAnsi"/>
                <w:color w:val="000000"/>
                <w:sz w:val="20"/>
                <w:szCs w:val="20"/>
              </w:rPr>
            </w:pPr>
            <w:r w:rsidRPr="00F16CF7">
              <w:rPr>
                <w:rFonts w:asciiTheme="minorHAnsi" w:hAnsiTheme="minorHAnsi"/>
                <w:color w:val="000000"/>
                <w:sz w:val="20"/>
                <w:szCs w:val="20"/>
              </w:rPr>
              <w:t>-248.68</w:t>
            </w:r>
          </w:p>
        </w:tc>
      </w:tr>
    </w:tbl>
    <w:p w14:paraId="3949464E" w14:textId="77777777" w:rsidR="00046603" w:rsidRPr="00F16CF7" w:rsidRDefault="00046603" w:rsidP="00046603">
      <w:pPr>
        <w:spacing w:before="240" w:after="240" w:line="240" w:lineRule="auto"/>
        <w:jc w:val="both"/>
        <w:rPr>
          <w:rFonts w:asciiTheme="minorHAnsi" w:hAnsiTheme="minorHAnsi"/>
          <w:sz w:val="24"/>
          <w:szCs w:val="24"/>
        </w:rPr>
      </w:pPr>
      <w:r w:rsidRPr="00F16CF7">
        <w:rPr>
          <w:rFonts w:asciiTheme="minorHAnsi" w:hAnsiTheme="minorHAnsi"/>
          <w:color w:val="000000"/>
          <w:sz w:val="20"/>
          <w:szCs w:val="20"/>
        </w:rPr>
        <w:t>*If the difference in AIC &gt; 10 between two fits on same data, the difference in fit is significant with lower AIC suggesting a better fit. </w:t>
      </w:r>
    </w:p>
    <w:p w14:paraId="26ACF6CF" w14:textId="77777777" w:rsidR="00046603" w:rsidRDefault="00046603" w:rsidP="00046603">
      <w:pPr>
        <w:spacing w:line="240" w:lineRule="auto"/>
        <w:jc w:val="both"/>
        <w:rPr>
          <w:rFonts w:asciiTheme="minorHAnsi" w:hAnsiTheme="minorHAnsi"/>
          <w:b/>
          <w:color w:val="000000"/>
          <w:sz w:val="24"/>
          <w:szCs w:val="24"/>
        </w:rPr>
      </w:pPr>
    </w:p>
    <w:p w14:paraId="4B1AEC43" w14:textId="453894B0" w:rsidR="00046603" w:rsidRPr="00F16CF7" w:rsidRDefault="00046603" w:rsidP="00046603">
      <w:pPr>
        <w:spacing w:line="240" w:lineRule="auto"/>
        <w:jc w:val="both"/>
        <w:rPr>
          <w:rFonts w:asciiTheme="minorHAnsi" w:hAnsiTheme="minorHAnsi"/>
          <w:b/>
          <w:color w:val="000000"/>
          <w:sz w:val="24"/>
          <w:szCs w:val="24"/>
        </w:rPr>
      </w:pPr>
      <w:r w:rsidRPr="00F16CF7">
        <w:rPr>
          <w:rFonts w:asciiTheme="minorHAnsi" w:hAnsiTheme="minorHAnsi"/>
          <w:b/>
          <w:color w:val="000000"/>
          <w:sz w:val="24"/>
          <w:szCs w:val="24"/>
        </w:rPr>
        <w:t>Table S4: Estimates of various delays for COVID-19 cases up to 1 June 2020</w:t>
      </w:r>
    </w:p>
    <w:p w14:paraId="62E69C95" w14:textId="77777777" w:rsidR="00046603" w:rsidRPr="00F16CF7" w:rsidRDefault="00046603" w:rsidP="00046603">
      <w:pPr>
        <w:spacing w:line="240" w:lineRule="auto"/>
        <w:jc w:val="both"/>
        <w:rPr>
          <w:rFonts w:asciiTheme="minorHAnsi" w:hAnsiTheme="minorHAnsi"/>
          <w:b/>
          <w:color w:val="000000"/>
          <w:sz w:val="24"/>
          <w:szCs w:val="24"/>
        </w:rPr>
      </w:pPr>
    </w:p>
    <w:tbl>
      <w:tblPr>
        <w:tblW w:w="9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0"/>
        <w:gridCol w:w="928"/>
        <w:gridCol w:w="2160"/>
        <w:gridCol w:w="2700"/>
      </w:tblGrid>
      <w:tr w:rsidR="00046603" w:rsidRPr="00F16CF7" w14:paraId="44977C15" w14:textId="77777777" w:rsidTr="00920604">
        <w:trPr>
          <w:trHeight w:val="300"/>
        </w:trPr>
        <w:tc>
          <w:tcPr>
            <w:tcW w:w="3580" w:type="dxa"/>
            <w:shd w:val="clear" w:color="auto" w:fill="D0CECE"/>
            <w:vAlign w:val="bottom"/>
          </w:tcPr>
          <w:p w14:paraId="4411DC97"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 </w:t>
            </w:r>
          </w:p>
        </w:tc>
        <w:tc>
          <w:tcPr>
            <w:tcW w:w="928" w:type="dxa"/>
            <w:shd w:val="clear" w:color="auto" w:fill="D0CECE"/>
            <w:vAlign w:val="bottom"/>
          </w:tcPr>
          <w:p w14:paraId="7C486C3C"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b/>
                <w:color w:val="000000"/>
                <w:sz w:val="20"/>
                <w:szCs w:val="20"/>
              </w:rPr>
            </w:pPr>
            <w:r w:rsidRPr="00F16CF7">
              <w:rPr>
                <w:rFonts w:asciiTheme="minorHAnsi" w:hAnsiTheme="minorHAnsi"/>
                <w:b/>
                <w:color w:val="000000"/>
                <w:sz w:val="20"/>
                <w:szCs w:val="20"/>
              </w:rPr>
              <w:t>Sample size, n</w:t>
            </w:r>
          </w:p>
        </w:tc>
        <w:tc>
          <w:tcPr>
            <w:tcW w:w="2160" w:type="dxa"/>
            <w:shd w:val="clear" w:color="auto" w:fill="D0CECE"/>
            <w:vAlign w:val="bottom"/>
          </w:tcPr>
          <w:p w14:paraId="016D42C5"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b/>
                <w:color w:val="000000"/>
                <w:sz w:val="20"/>
                <w:szCs w:val="20"/>
              </w:rPr>
            </w:pPr>
            <w:r w:rsidRPr="00F16CF7">
              <w:rPr>
                <w:rFonts w:asciiTheme="minorHAnsi" w:hAnsiTheme="minorHAnsi"/>
                <w:b/>
                <w:color w:val="000000"/>
                <w:sz w:val="20"/>
                <w:szCs w:val="20"/>
              </w:rPr>
              <w:t>Mean, days (95% CI)</w:t>
            </w:r>
          </w:p>
        </w:tc>
        <w:tc>
          <w:tcPr>
            <w:tcW w:w="2700" w:type="dxa"/>
            <w:shd w:val="clear" w:color="auto" w:fill="D0CECE"/>
            <w:vAlign w:val="bottom"/>
          </w:tcPr>
          <w:p w14:paraId="57A7348A"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b/>
                <w:color w:val="000000"/>
                <w:sz w:val="20"/>
                <w:szCs w:val="20"/>
              </w:rPr>
            </w:pPr>
            <w:r w:rsidRPr="00F16CF7">
              <w:rPr>
                <w:rFonts w:asciiTheme="minorHAnsi" w:hAnsiTheme="minorHAnsi"/>
                <w:b/>
                <w:color w:val="000000"/>
                <w:sz w:val="20"/>
                <w:szCs w:val="20"/>
              </w:rPr>
              <w:t>SD, days (95% CI)</w:t>
            </w:r>
          </w:p>
        </w:tc>
      </w:tr>
      <w:tr w:rsidR="00046603" w:rsidRPr="00F16CF7" w14:paraId="0610E316" w14:textId="77777777" w:rsidTr="00920604">
        <w:trPr>
          <w:trHeight w:val="300"/>
        </w:trPr>
        <w:tc>
          <w:tcPr>
            <w:tcW w:w="9368" w:type="dxa"/>
            <w:gridSpan w:val="4"/>
            <w:shd w:val="clear" w:color="auto" w:fill="E7E6E6"/>
            <w:vAlign w:val="bottom"/>
          </w:tcPr>
          <w:p w14:paraId="028010CB"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All cases</w:t>
            </w:r>
          </w:p>
        </w:tc>
      </w:tr>
      <w:tr w:rsidR="00046603" w:rsidRPr="00F16CF7" w14:paraId="267F2E73" w14:textId="77777777" w:rsidTr="00920604">
        <w:trPr>
          <w:trHeight w:val="300"/>
        </w:trPr>
        <w:tc>
          <w:tcPr>
            <w:tcW w:w="3580" w:type="dxa"/>
            <w:shd w:val="clear" w:color="auto" w:fill="auto"/>
            <w:vAlign w:val="bottom"/>
          </w:tcPr>
          <w:p w14:paraId="50E48455"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sample collection</w:t>
            </w:r>
          </w:p>
        </w:tc>
        <w:tc>
          <w:tcPr>
            <w:tcW w:w="928" w:type="dxa"/>
            <w:shd w:val="clear" w:color="auto" w:fill="auto"/>
            <w:vAlign w:val="bottom"/>
          </w:tcPr>
          <w:p w14:paraId="69B58A55"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261</w:t>
            </w:r>
          </w:p>
        </w:tc>
        <w:tc>
          <w:tcPr>
            <w:tcW w:w="2160" w:type="dxa"/>
            <w:shd w:val="clear" w:color="auto" w:fill="auto"/>
            <w:vAlign w:val="bottom"/>
          </w:tcPr>
          <w:p w14:paraId="7488CB26"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3.038 (2.609-3.487)</w:t>
            </w:r>
          </w:p>
        </w:tc>
        <w:tc>
          <w:tcPr>
            <w:tcW w:w="2700" w:type="dxa"/>
            <w:shd w:val="clear" w:color="auto" w:fill="auto"/>
            <w:vAlign w:val="bottom"/>
          </w:tcPr>
          <w:p w14:paraId="3EE65CB4"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3.553 (2.757-4.387)</w:t>
            </w:r>
          </w:p>
        </w:tc>
      </w:tr>
      <w:tr w:rsidR="00046603" w:rsidRPr="00F16CF7" w14:paraId="7D7EB178" w14:textId="77777777" w:rsidTr="00920604">
        <w:trPr>
          <w:trHeight w:val="300"/>
        </w:trPr>
        <w:tc>
          <w:tcPr>
            <w:tcW w:w="3580" w:type="dxa"/>
            <w:shd w:val="clear" w:color="auto" w:fill="auto"/>
            <w:vAlign w:val="bottom"/>
          </w:tcPr>
          <w:p w14:paraId="7825A912"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lab confirmation</w:t>
            </w:r>
          </w:p>
        </w:tc>
        <w:tc>
          <w:tcPr>
            <w:tcW w:w="928" w:type="dxa"/>
            <w:shd w:val="clear" w:color="auto" w:fill="auto"/>
            <w:vAlign w:val="bottom"/>
          </w:tcPr>
          <w:p w14:paraId="57D419B0"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261</w:t>
            </w:r>
          </w:p>
        </w:tc>
        <w:tc>
          <w:tcPr>
            <w:tcW w:w="2160" w:type="dxa"/>
            <w:shd w:val="clear" w:color="auto" w:fill="auto"/>
            <w:vAlign w:val="bottom"/>
          </w:tcPr>
          <w:p w14:paraId="7EEA6267"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5.146 (4.732-5.594)</w:t>
            </w:r>
          </w:p>
        </w:tc>
        <w:tc>
          <w:tcPr>
            <w:tcW w:w="2700" w:type="dxa"/>
            <w:shd w:val="clear" w:color="auto" w:fill="auto"/>
            <w:vAlign w:val="bottom"/>
          </w:tcPr>
          <w:p w14:paraId="00CE1816"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3.643 (2.864-4.471)</w:t>
            </w:r>
          </w:p>
        </w:tc>
      </w:tr>
      <w:tr w:rsidR="00046603" w:rsidRPr="00F16CF7" w14:paraId="304D2661" w14:textId="77777777" w:rsidTr="00920604">
        <w:trPr>
          <w:trHeight w:val="300"/>
        </w:trPr>
        <w:tc>
          <w:tcPr>
            <w:tcW w:w="9368" w:type="dxa"/>
            <w:gridSpan w:val="4"/>
            <w:shd w:val="clear" w:color="auto" w:fill="E7E6E6"/>
            <w:vAlign w:val="bottom"/>
          </w:tcPr>
          <w:p w14:paraId="006B529E"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Imported international </w:t>
            </w:r>
          </w:p>
        </w:tc>
      </w:tr>
      <w:tr w:rsidR="00046603" w:rsidRPr="00F16CF7" w14:paraId="06D21F30" w14:textId="77777777" w:rsidTr="00920604">
        <w:trPr>
          <w:trHeight w:val="300"/>
        </w:trPr>
        <w:tc>
          <w:tcPr>
            <w:tcW w:w="3580" w:type="dxa"/>
            <w:shd w:val="clear" w:color="auto" w:fill="auto"/>
            <w:vAlign w:val="bottom"/>
          </w:tcPr>
          <w:p w14:paraId="1AC62CCF"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Arrival to symptom onset</w:t>
            </w:r>
          </w:p>
        </w:tc>
        <w:tc>
          <w:tcPr>
            <w:tcW w:w="928" w:type="dxa"/>
            <w:shd w:val="clear" w:color="auto" w:fill="auto"/>
            <w:vAlign w:val="bottom"/>
          </w:tcPr>
          <w:p w14:paraId="3FB1D0D0"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57</w:t>
            </w:r>
          </w:p>
        </w:tc>
        <w:tc>
          <w:tcPr>
            <w:tcW w:w="2160" w:type="dxa"/>
            <w:shd w:val="clear" w:color="auto" w:fill="auto"/>
            <w:vAlign w:val="bottom"/>
          </w:tcPr>
          <w:p w14:paraId="23A481F6"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3.333 (1.771-5.404)</w:t>
            </w:r>
          </w:p>
        </w:tc>
        <w:tc>
          <w:tcPr>
            <w:tcW w:w="2700" w:type="dxa"/>
            <w:shd w:val="clear" w:color="auto" w:fill="auto"/>
            <w:vAlign w:val="bottom"/>
          </w:tcPr>
          <w:p w14:paraId="791A739C"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7.022 (3.592-10.687)</w:t>
            </w:r>
          </w:p>
        </w:tc>
      </w:tr>
      <w:tr w:rsidR="00046603" w:rsidRPr="00F16CF7" w14:paraId="35BDF124" w14:textId="77777777" w:rsidTr="00920604">
        <w:trPr>
          <w:trHeight w:val="300"/>
        </w:trPr>
        <w:tc>
          <w:tcPr>
            <w:tcW w:w="3580" w:type="dxa"/>
            <w:shd w:val="clear" w:color="auto" w:fill="auto"/>
            <w:vAlign w:val="bottom"/>
          </w:tcPr>
          <w:p w14:paraId="46031D20"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sample collection</w:t>
            </w:r>
          </w:p>
        </w:tc>
        <w:tc>
          <w:tcPr>
            <w:tcW w:w="928" w:type="dxa"/>
            <w:shd w:val="clear" w:color="auto" w:fill="auto"/>
            <w:vAlign w:val="bottom"/>
          </w:tcPr>
          <w:p w14:paraId="0081204F"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58</w:t>
            </w:r>
          </w:p>
        </w:tc>
        <w:tc>
          <w:tcPr>
            <w:tcW w:w="2160" w:type="dxa"/>
            <w:shd w:val="clear" w:color="auto" w:fill="auto"/>
            <w:vAlign w:val="bottom"/>
          </w:tcPr>
          <w:p w14:paraId="74C11558"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2.621 (1.828-3.569)</w:t>
            </w:r>
          </w:p>
        </w:tc>
        <w:tc>
          <w:tcPr>
            <w:tcW w:w="2700" w:type="dxa"/>
            <w:shd w:val="clear" w:color="auto" w:fill="auto"/>
            <w:vAlign w:val="bottom"/>
          </w:tcPr>
          <w:p w14:paraId="2E5CB5FA"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3.393 (1.794-4.549)</w:t>
            </w:r>
          </w:p>
        </w:tc>
      </w:tr>
      <w:tr w:rsidR="00046603" w:rsidRPr="00F16CF7" w14:paraId="5FCAFD11" w14:textId="77777777" w:rsidTr="00920604">
        <w:trPr>
          <w:trHeight w:val="300"/>
        </w:trPr>
        <w:tc>
          <w:tcPr>
            <w:tcW w:w="3580" w:type="dxa"/>
            <w:shd w:val="clear" w:color="auto" w:fill="auto"/>
            <w:vAlign w:val="bottom"/>
          </w:tcPr>
          <w:p w14:paraId="52D8CA31"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lab confirmation</w:t>
            </w:r>
          </w:p>
        </w:tc>
        <w:tc>
          <w:tcPr>
            <w:tcW w:w="928" w:type="dxa"/>
            <w:shd w:val="clear" w:color="auto" w:fill="auto"/>
            <w:vAlign w:val="bottom"/>
          </w:tcPr>
          <w:p w14:paraId="61D1AB04"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58</w:t>
            </w:r>
          </w:p>
        </w:tc>
        <w:tc>
          <w:tcPr>
            <w:tcW w:w="2160" w:type="dxa"/>
            <w:shd w:val="clear" w:color="auto" w:fill="auto"/>
            <w:vAlign w:val="bottom"/>
          </w:tcPr>
          <w:p w14:paraId="439AA3E7"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4.672 (3.897-5.603)</w:t>
            </w:r>
          </w:p>
        </w:tc>
        <w:tc>
          <w:tcPr>
            <w:tcW w:w="2700" w:type="dxa"/>
            <w:shd w:val="clear" w:color="auto" w:fill="auto"/>
            <w:vAlign w:val="bottom"/>
          </w:tcPr>
          <w:p w14:paraId="1E8E9A87"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3.339 (1.960-4.429)</w:t>
            </w:r>
          </w:p>
        </w:tc>
      </w:tr>
      <w:tr w:rsidR="00046603" w:rsidRPr="00F16CF7" w14:paraId="0EE79EA5" w14:textId="77777777" w:rsidTr="00920604">
        <w:trPr>
          <w:trHeight w:val="300"/>
        </w:trPr>
        <w:tc>
          <w:tcPr>
            <w:tcW w:w="9368" w:type="dxa"/>
            <w:gridSpan w:val="4"/>
            <w:shd w:val="clear" w:color="auto" w:fill="E7E6E6"/>
            <w:vAlign w:val="bottom"/>
          </w:tcPr>
          <w:p w14:paraId="095B4EB8"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Imported domestic</w:t>
            </w:r>
          </w:p>
        </w:tc>
      </w:tr>
      <w:tr w:rsidR="00046603" w:rsidRPr="00F16CF7" w14:paraId="16B1FF05" w14:textId="77777777" w:rsidTr="00920604">
        <w:trPr>
          <w:trHeight w:val="300"/>
        </w:trPr>
        <w:tc>
          <w:tcPr>
            <w:tcW w:w="3580" w:type="dxa"/>
            <w:shd w:val="clear" w:color="auto" w:fill="auto"/>
            <w:vAlign w:val="bottom"/>
          </w:tcPr>
          <w:p w14:paraId="66BDE373"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Arrival to symptom onset</w:t>
            </w:r>
          </w:p>
        </w:tc>
        <w:tc>
          <w:tcPr>
            <w:tcW w:w="928" w:type="dxa"/>
            <w:shd w:val="clear" w:color="auto" w:fill="auto"/>
            <w:vAlign w:val="bottom"/>
          </w:tcPr>
          <w:p w14:paraId="1DCBA5DF"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28</w:t>
            </w:r>
          </w:p>
        </w:tc>
        <w:tc>
          <w:tcPr>
            <w:tcW w:w="2160" w:type="dxa"/>
            <w:shd w:val="clear" w:color="auto" w:fill="auto"/>
            <w:vAlign w:val="bottom"/>
          </w:tcPr>
          <w:p w14:paraId="28A70F7D"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1.929 (0.714-3.214)</w:t>
            </w:r>
          </w:p>
        </w:tc>
        <w:tc>
          <w:tcPr>
            <w:tcW w:w="2700" w:type="dxa"/>
            <w:shd w:val="clear" w:color="auto" w:fill="auto"/>
            <w:vAlign w:val="bottom"/>
          </w:tcPr>
          <w:p w14:paraId="2C0A0015"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3.369 (2.223-4.235)</w:t>
            </w:r>
          </w:p>
        </w:tc>
      </w:tr>
      <w:tr w:rsidR="00046603" w:rsidRPr="00F16CF7" w14:paraId="00F1C57B" w14:textId="77777777" w:rsidTr="00920604">
        <w:trPr>
          <w:trHeight w:val="300"/>
        </w:trPr>
        <w:tc>
          <w:tcPr>
            <w:tcW w:w="3580" w:type="dxa"/>
            <w:shd w:val="clear" w:color="auto" w:fill="auto"/>
            <w:vAlign w:val="bottom"/>
          </w:tcPr>
          <w:p w14:paraId="4591310B"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sample collection</w:t>
            </w:r>
          </w:p>
        </w:tc>
        <w:tc>
          <w:tcPr>
            <w:tcW w:w="928" w:type="dxa"/>
            <w:shd w:val="clear" w:color="auto" w:fill="auto"/>
            <w:vAlign w:val="bottom"/>
          </w:tcPr>
          <w:p w14:paraId="6E133EBF"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40</w:t>
            </w:r>
          </w:p>
        </w:tc>
        <w:tc>
          <w:tcPr>
            <w:tcW w:w="2160" w:type="dxa"/>
            <w:shd w:val="clear" w:color="auto" w:fill="auto"/>
            <w:vAlign w:val="bottom"/>
          </w:tcPr>
          <w:p w14:paraId="735B17B9"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2.675 (1.475-4.075)</w:t>
            </w:r>
          </w:p>
        </w:tc>
        <w:tc>
          <w:tcPr>
            <w:tcW w:w="2700" w:type="dxa"/>
            <w:shd w:val="clear" w:color="auto" w:fill="auto"/>
            <w:vAlign w:val="bottom"/>
          </w:tcPr>
          <w:p w14:paraId="08AA1B9B"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4.268 (2.549-5.735)</w:t>
            </w:r>
          </w:p>
        </w:tc>
      </w:tr>
      <w:tr w:rsidR="00046603" w:rsidRPr="00F16CF7" w14:paraId="53D4F181" w14:textId="77777777" w:rsidTr="00920604">
        <w:trPr>
          <w:trHeight w:val="300"/>
        </w:trPr>
        <w:tc>
          <w:tcPr>
            <w:tcW w:w="3580" w:type="dxa"/>
            <w:shd w:val="clear" w:color="auto" w:fill="auto"/>
            <w:vAlign w:val="bottom"/>
          </w:tcPr>
          <w:p w14:paraId="5631ADB0"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lab confirmation</w:t>
            </w:r>
          </w:p>
        </w:tc>
        <w:tc>
          <w:tcPr>
            <w:tcW w:w="928" w:type="dxa"/>
            <w:shd w:val="clear" w:color="auto" w:fill="auto"/>
            <w:vAlign w:val="bottom"/>
          </w:tcPr>
          <w:p w14:paraId="4AE12702"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40</w:t>
            </w:r>
          </w:p>
        </w:tc>
        <w:tc>
          <w:tcPr>
            <w:tcW w:w="2160" w:type="dxa"/>
            <w:shd w:val="clear" w:color="auto" w:fill="auto"/>
            <w:vAlign w:val="bottom"/>
          </w:tcPr>
          <w:p w14:paraId="3AA25683"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4.850 (3.650-6.275)</w:t>
            </w:r>
          </w:p>
        </w:tc>
        <w:tc>
          <w:tcPr>
            <w:tcW w:w="2700" w:type="dxa"/>
            <w:shd w:val="clear" w:color="auto" w:fill="auto"/>
            <w:vAlign w:val="bottom"/>
          </w:tcPr>
          <w:p w14:paraId="00DDB0D1"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4.204 (2.495-5.638)</w:t>
            </w:r>
          </w:p>
        </w:tc>
      </w:tr>
      <w:tr w:rsidR="00046603" w:rsidRPr="00F16CF7" w14:paraId="15C1CEE6" w14:textId="77777777" w:rsidTr="00920604">
        <w:trPr>
          <w:trHeight w:val="300"/>
        </w:trPr>
        <w:tc>
          <w:tcPr>
            <w:tcW w:w="9368" w:type="dxa"/>
            <w:gridSpan w:val="4"/>
            <w:shd w:val="clear" w:color="auto" w:fill="E7E6E6"/>
            <w:vAlign w:val="bottom"/>
          </w:tcPr>
          <w:p w14:paraId="2B41C8D1"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Local with known origin</w:t>
            </w:r>
          </w:p>
        </w:tc>
      </w:tr>
      <w:tr w:rsidR="00046603" w:rsidRPr="00F16CF7" w14:paraId="2A91F48A" w14:textId="77777777" w:rsidTr="00920604">
        <w:trPr>
          <w:trHeight w:val="300"/>
        </w:trPr>
        <w:tc>
          <w:tcPr>
            <w:tcW w:w="3580" w:type="dxa"/>
            <w:shd w:val="clear" w:color="auto" w:fill="auto"/>
            <w:vAlign w:val="bottom"/>
          </w:tcPr>
          <w:p w14:paraId="472B0048"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sample collection</w:t>
            </w:r>
          </w:p>
        </w:tc>
        <w:tc>
          <w:tcPr>
            <w:tcW w:w="928" w:type="dxa"/>
            <w:shd w:val="clear" w:color="auto" w:fill="auto"/>
            <w:vAlign w:val="bottom"/>
          </w:tcPr>
          <w:p w14:paraId="57B6A2DF"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51</w:t>
            </w:r>
          </w:p>
        </w:tc>
        <w:tc>
          <w:tcPr>
            <w:tcW w:w="2160" w:type="dxa"/>
            <w:shd w:val="clear" w:color="auto" w:fill="auto"/>
            <w:vAlign w:val="bottom"/>
          </w:tcPr>
          <w:p w14:paraId="14932140"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2.667 (1.765-3.980)</w:t>
            </w:r>
          </w:p>
        </w:tc>
        <w:tc>
          <w:tcPr>
            <w:tcW w:w="2700" w:type="dxa"/>
            <w:shd w:val="clear" w:color="auto" w:fill="auto"/>
            <w:vAlign w:val="bottom"/>
          </w:tcPr>
          <w:p w14:paraId="6B6F5EBA"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4.152 (1.481-6.628)</w:t>
            </w:r>
          </w:p>
        </w:tc>
      </w:tr>
      <w:tr w:rsidR="00046603" w:rsidRPr="00F16CF7" w14:paraId="301D7033" w14:textId="77777777" w:rsidTr="00920604">
        <w:trPr>
          <w:trHeight w:val="300"/>
        </w:trPr>
        <w:tc>
          <w:tcPr>
            <w:tcW w:w="3580" w:type="dxa"/>
            <w:shd w:val="clear" w:color="auto" w:fill="auto"/>
            <w:vAlign w:val="bottom"/>
          </w:tcPr>
          <w:p w14:paraId="3C5F2C6C"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lab confirmation</w:t>
            </w:r>
          </w:p>
        </w:tc>
        <w:tc>
          <w:tcPr>
            <w:tcW w:w="928" w:type="dxa"/>
            <w:shd w:val="clear" w:color="auto" w:fill="auto"/>
            <w:vAlign w:val="bottom"/>
          </w:tcPr>
          <w:p w14:paraId="2A38005B"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51</w:t>
            </w:r>
          </w:p>
        </w:tc>
        <w:tc>
          <w:tcPr>
            <w:tcW w:w="2160" w:type="dxa"/>
            <w:shd w:val="clear" w:color="auto" w:fill="auto"/>
            <w:vAlign w:val="bottom"/>
          </w:tcPr>
          <w:p w14:paraId="417263B9"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4.784 (3.804-6.157)</w:t>
            </w:r>
          </w:p>
        </w:tc>
        <w:tc>
          <w:tcPr>
            <w:tcW w:w="2700" w:type="dxa"/>
            <w:shd w:val="clear" w:color="auto" w:fill="auto"/>
            <w:vAlign w:val="bottom"/>
          </w:tcPr>
          <w:p w14:paraId="5C6880AE"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4.376 (1.741-6.943)</w:t>
            </w:r>
          </w:p>
        </w:tc>
      </w:tr>
      <w:tr w:rsidR="00046603" w:rsidRPr="00F16CF7" w14:paraId="4C2EAD72" w14:textId="77777777" w:rsidTr="00920604">
        <w:trPr>
          <w:trHeight w:val="300"/>
        </w:trPr>
        <w:tc>
          <w:tcPr>
            <w:tcW w:w="9368" w:type="dxa"/>
            <w:gridSpan w:val="4"/>
            <w:shd w:val="clear" w:color="auto" w:fill="E7E6E6"/>
            <w:vAlign w:val="bottom"/>
          </w:tcPr>
          <w:p w14:paraId="746617F6"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Local with unknown origin</w:t>
            </w:r>
          </w:p>
          <w:p w14:paraId="0BB2247E"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p>
        </w:tc>
      </w:tr>
      <w:tr w:rsidR="00046603" w:rsidRPr="00F16CF7" w14:paraId="48B84817" w14:textId="77777777" w:rsidTr="00920604">
        <w:trPr>
          <w:trHeight w:val="300"/>
        </w:trPr>
        <w:tc>
          <w:tcPr>
            <w:tcW w:w="3580" w:type="dxa"/>
            <w:shd w:val="clear" w:color="auto" w:fill="auto"/>
            <w:vAlign w:val="bottom"/>
          </w:tcPr>
          <w:p w14:paraId="35C0C6AE"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sample collection</w:t>
            </w:r>
          </w:p>
        </w:tc>
        <w:tc>
          <w:tcPr>
            <w:tcW w:w="928" w:type="dxa"/>
            <w:shd w:val="clear" w:color="auto" w:fill="auto"/>
            <w:vAlign w:val="bottom"/>
          </w:tcPr>
          <w:p w14:paraId="3F92DA00"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112</w:t>
            </w:r>
          </w:p>
        </w:tc>
        <w:tc>
          <w:tcPr>
            <w:tcW w:w="2160" w:type="dxa"/>
            <w:shd w:val="clear" w:color="auto" w:fill="auto"/>
            <w:vAlign w:val="bottom"/>
          </w:tcPr>
          <w:p w14:paraId="7FC21534"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3.554 (3.018-4.107)</w:t>
            </w:r>
          </w:p>
        </w:tc>
        <w:tc>
          <w:tcPr>
            <w:tcW w:w="2700" w:type="dxa"/>
            <w:shd w:val="clear" w:color="auto" w:fill="auto"/>
            <w:vAlign w:val="bottom"/>
          </w:tcPr>
          <w:p w14:paraId="53B4589C"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2.939 (2.402-3.493)</w:t>
            </w:r>
          </w:p>
        </w:tc>
      </w:tr>
      <w:tr w:rsidR="00046603" w:rsidRPr="00F16CF7" w14:paraId="00103157" w14:textId="77777777" w:rsidTr="00920604">
        <w:trPr>
          <w:trHeight w:val="300"/>
        </w:trPr>
        <w:tc>
          <w:tcPr>
            <w:tcW w:w="3580" w:type="dxa"/>
            <w:shd w:val="clear" w:color="auto" w:fill="auto"/>
            <w:vAlign w:val="bottom"/>
          </w:tcPr>
          <w:p w14:paraId="60B27804"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lab confirmation</w:t>
            </w:r>
          </w:p>
        </w:tc>
        <w:tc>
          <w:tcPr>
            <w:tcW w:w="928" w:type="dxa"/>
            <w:shd w:val="clear" w:color="auto" w:fill="auto"/>
            <w:vAlign w:val="bottom"/>
          </w:tcPr>
          <w:p w14:paraId="39B30D3E"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112</w:t>
            </w:r>
          </w:p>
        </w:tc>
        <w:tc>
          <w:tcPr>
            <w:tcW w:w="2160" w:type="dxa"/>
            <w:shd w:val="clear" w:color="auto" w:fill="auto"/>
            <w:vAlign w:val="bottom"/>
          </w:tcPr>
          <w:p w14:paraId="250FCA8F"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5.661 (5.098-6.241)</w:t>
            </w:r>
          </w:p>
        </w:tc>
        <w:tc>
          <w:tcPr>
            <w:tcW w:w="2700" w:type="dxa"/>
            <w:shd w:val="clear" w:color="auto" w:fill="auto"/>
            <w:vAlign w:val="bottom"/>
          </w:tcPr>
          <w:p w14:paraId="69DA8AEA"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3.107 (2.557-3.599)</w:t>
            </w:r>
          </w:p>
        </w:tc>
      </w:tr>
      <w:tr w:rsidR="00046603" w:rsidRPr="00F16CF7" w14:paraId="56C54902" w14:textId="77777777" w:rsidTr="00920604">
        <w:trPr>
          <w:trHeight w:val="300"/>
        </w:trPr>
        <w:tc>
          <w:tcPr>
            <w:tcW w:w="9368" w:type="dxa"/>
            <w:gridSpan w:val="4"/>
            <w:shd w:val="clear" w:color="auto" w:fill="E7E6E6"/>
            <w:vAlign w:val="bottom"/>
          </w:tcPr>
          <w:p w14:paraId="08419387" w14:textId="77777777" w:rsidR="00046603" w:rsidRPr="00F16CF7" w:rsidRDefault="00046603" w:rsidP="00920604">
            <w:pPr>
              <w:pBdr>
                <w:top w:val="nil"/>
                <w:left w:val="nil"/>
                <w:bottom w:val="nil"/>
                <w:right w:val="nil"/>
                <w:between w:val="nil"/>
              </w:pBdr>
              <w:spacing w:line="360" w:lineRule="auto"/>
              <w:rPr>
                <w:rFonts w:asciiTheme="minorHAnsi" w:hAnsiTheme="minorHAnsi"/>
                <w:b/>
                <w:color w:val="000000"/>
                <w:sz w:val="20"/>
                <w:szCs w:val="20"/>
              </w:rPr>
            </w:pPr>
            <w:r w:rsidRPr="00F16CF7">
              <w:rPr>
                <w:rFonts w:asciiTheme="minorHAnsi" w:hAnsiTheme="minorHAnsi"/>
                <w:b/>
                <w:color w:val="000000"/>
                <w:sz w:val="20"/>
                <w:szCs w:val="20"/>
              </w:rPr>
              <w:t>Cases detected through symptom-based surveillance (ILI or SARI)</w:t>
            </w:r>
          </w:p>
        </w:tc>
      </w:tr>
      <w:tr w:rsidR="00046603" w:rsidRPr="00F16CF7" w14:paraId="1EB866B6" w14:textId="77777777" w:rsidTr="00920604">
        <w:trPr>
          <w:trHeight w:val="300"/>
        </w:trPr>
        <w:tc>
          <w:tcPr>
            <w:tcW w:w="3580" w:type="dxa"/>
            <w:shd w:val="clear" w:color="auto" w:fill="auto"/>
            <w:vAlign w:val="bottom"/>
          </w:tcPr>
          <w:p w14:paraId="698EA43D"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sample collection</w:t>
            </w:r>
          </w:p>
        </w:tc>
        <w:tc>
          <w:tcPr>
            <w:tcW w:w="928" w:type="dxa"/>
            <w:shd w:val="clear" w:color="auto" w:fill="auto"/>
            <w:vAlign w:val="bottom"/>
          </w:tcPr>
          <w:p w14:paraId="203FAFF9"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75</w:t>
            </w:r>
          </w:p>
        </w:tc>
        <w:tc>
          <w:tcPr>
            <w:tcW w:w="2160" w:type="dxa"/>
            <w:shd w:val="clear" w:color="auto" w:fill="auto"/>
            <w:vAlign w:val="bottom"/>
          </w:tcPr>
          <w:p w14:paraId="464EA7F1"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3.480 (2.853-4.173)</w:t>
            </w:r>
          </w:p>
        </w:tc>
        <w:tc>
          <w:tcPr>
            <w:tcW w:w="2700" w:type="dxa"/>
            <w:shd w:val="clear" w:color="auto" w:fill="auto"/>
            <w:vAlign w:val="bottom"/>
          </w:tcPr>
          <w:p w14:paraId="528DA323"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2.918 (2.121-3.689)</w:t>
            </w:r>
          </w:p>
        </w:tc>
      </w:tr>
      <w:tr w:rsidR="00046603" w:rsidRPr="00F16CF7" w14:paraId="2C5CA58F" w14:textId="77777777" w:rsidTr="00920604">
        <w:trPr>
          <w:trHeight w:val="300"/>
        </w:trPr>
        <w:tc>
          <w:tcPr>
            <w:tcW w:w="3580" w:type="dxa"/>
            <w:shd w:val="clear" w:color="auto" w:fill="auto"/>
            <w:vAlign w:val="bottom"/>
          </w:tcPr>
          <w:p w14:paraId="2349044C" w14:textId="77777777" w:rsidR="00046603" w:rsidRPr="00F16CF7" w:rsidRDefault="00046603" w:rsidP="00920604">
            <w:pPr>
              <w:pBdr>
                <w:top w:val="nil"/>
                <w:left w:val="nil"/>
                <w:bottom w:val="nil"/>
                <w:right w:val="nil"/>
                <w:between w:val="nil"/>
              </w:pBdr>
              <w:spacing w:line="360" w:lineRule="auto"/>
              <w:rPr>
                <w:rFonts w:asciiTheme="minorHAnsi" w:hAnsiTheme="minorHAnsi"/>
                <w:color w:val="000000"/>
                <w:sz w:val="20"/>
                <w:szCs w:val="20"/>
              </w:rPr>
            </w:pPr>
            <w:r w:rsidRPr="00F16CF7">
              <w:rPr>
                <w:rFonts w:asciiTheme="minorHAnsi" w:hAnsiTheme="minorHAnsi"/>
                <w:color w:val="000000"/>
                <w:sz w:val="20"/>
                <w:szCs w:val="20"/>
              </w:rPr>
              <w:t>Symptom onset to lab confirmation</w:t>
            </w:r>
          </w:p>
        </w:tc>
        <w:tc>
          <w:tcPr>
            <w:tcW w:w="928" w:type="dxa"/>
            <w:shd w:val="clear" w:color="auto" w:fill="auto"/>
            <w:vAlign w:val="bottom"/>
          </w:tcPr>
          <w:p w14:paraId="4336A995"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75</w:t>
            </w:r>
          </w:p>
        </w:tc>
        <w:tc>
          <w:tcPr>
            <w:tcW w:w="2160" w:type="dxa"/>
            <w:shd w:val="clear" w:color="auto" w:fill="auto"/>
            <w:vAlign w:val="bottom"/>
          </w:tcPr>
          <w:p w14:paraId="23148808"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5.560 (4.867-6.293)</w:t>
            </w:r>
          </w:p>
        </w:tc>
        <w:tc>
          <w:tcPr>
            <w:tcW w:w="2700" w:type="dxa"/>
            <w:shd w:val="clear" w:color="auto" w:fill="auto"/>
            <w:vAlign w:val="bottom"/>
          </w:tcPr>
          <w:p w14:paraId="65B358A5" w14:textId="77777777" w:rsidR="00046603" w:rsidRPr="00F16CF7" w:rsidRDefault="00046603" w:rsidP="00920604">
            <w:pPr>
              <w:pBdr>
                <w:top w:val="nil"/>
                <w:left w:val="nil"/>
                <w:bottom w:val="nil"/>
                <w:right w:val="nil"/>
                <w:between w:val="nil"/>
              </w:pBdr>
              <w:spacing w:line="360" w:lineRule="auto"/>
              <w:jc w:val="right"/>
              <w:rPr>
                <w:rFonts w:asciiTheme="minorHAnsi" w:hAnsiTheme="minorHAnsi"/>
                <w:color w:val="000000"/>
                <w:sz w:val="20"/>
                <w:szCs w:val="20"/>
              </w:rPr>
            </w:pPr>
            <w:r w:rsidRPr="00F16CF7">
              <w:rPr>
                <w:rFonts w:asciiTheme="minorHAnsi" w:hAnsiTheme="minorHAnsi"/>
                <w:color w:val="000000"/>
                <w:sz w:val="20"/>
                <w:szCs w:val="20"/>
              </w:rPr>
              <w:t>3.159 (2.410-3.827)</w:t>
            </w:r>
          </w:p>
        </w:tc>
      </w:tr>
    </w:tbl>
    <w:p w14:paraId="79481CD6" w14:textId="77777777" w:rsidR="00046603" w:rsidRPr="00F16CF7" w:rsidRDefault="00046603" w:rsidP="00046603">
      <w:pPr>
        <w:spacing w:line="240" w:lineRule="auto"/>
        <w:rPr>
          <w:rFonts w:asciiTheme="minorHAnsi" w:hAnsiTheme="minorHAnsi"/>
          <w:sz w:val="24"/>
          <w:szCs w:val="24"/>
        </w:rPr>
      </w:pPr>
    </w:p>
    <w:p w14:paraId="65F19F80" w14:textId="77777777" w:rsidR="00D9154B" w:rsidRDefault="00D9154B" w:rsidP="00046603">
      <w:pPr>
        <w:spacing w:line="240" w:lineRule="auto"/>
        <w:jc w:val="both"/>
        <w:rPr>
          <w:rFonts w:asciiTheme="minorHAnsi" w:hAnsiTheme="minorHAnsi"/>
          <w:sz w:val="24"/>
          <w:szCs w:val="24"/>
        </w:rPr>
      </w:pPr>
    </w:p>
    <w:p w14:paraId="018E93DE" w14:textId="164165F8" w:rsidR="00046603" w:rsidRDefault="00046603" w:rsidP="00046603">
      <w:pPr>
        <w:spacing w:line="240" w:lineRule="auto"/>
        <w:jc w:val="both"/>
        <w:rPr>
          <w:rFonts w:asciiTheme="minorHAnsi" w:hAnsiTheme="minorHAnsi"/>
          <w:b/>
          <w:color w:val="000000"/>
          <w:sz w:val="24"/>
          <w:szCs w:val="24"/>
        </w:rPr>
      </w:pPr>
      <w:r>
        <w:rPr>
          <w:rFonts w:asciiTheme="minorHAnsi" w:hAnsiTheme="minorHAnsi"/>
          <w:b/>
          <w:color w:val="000000"/>
          <w:sz w:val="24"/>
          <w:szCs w:val="24"/>
        </w:rPr>
        <w:t>Sup</w:t>
      </w:r>
      <w:r w:rsidR="00D9154B">
        <w:rPr>
          <w:rFonts w:asciiTheme="minorHAnsi" w:hAnsiTheme="minorHAnsi"/>
          <w:b/>
          <w:color w:val="000000"/>
          <w:sz w:val="24"/>
          <w:szCs w:val="24"/>
        </w:rPr>
        <w:t>p</w:t>
      </w:r>
      <w:r>
        <w:rPr>
          <w:rFonts w:asciiTheme="minorHAnsi" w:hAnsiTheme="minorHAnsi"/>
          <w:b/>
          <w:color w:val="000000"/>
          <w:sz w:val="24"/>
          <w:szCs w:val="24"/>
        </w:rPr>
        <w:t>orting Material Figure Captions:</w:t>
      </w:r>
    </w:p>
    <w:p w14:paraId="0DC09BD6" w14:textId="31270EAD" w:rsidR="00046603" w:rsidRDefault="00046603" w:rsidP="00046603">
      <w:pPr>
        <w:spacing w:line="240" w:lineRule="auto"/>
        <w:jc w:val="both"/>
        <w:rPr>
          <w:rFonts w:asciiTheme="minorHAnsi" w:hAnsiTheme="minorHAnsi"/>
          <w:b/>
          <w:color w:val="000000"/>
          <w:sz w:val="24"/>
          <w:szCs w:val="24"/>
        </w:rPr>
      </w:pPr>
    </w:p>
    <w:p w14:paraId="426AC396" w14:textId="77777777" w:rsidR="00046603" w:rsidRPr="00F16CF7" w:rsidRDefault="00046603" w:rsidP="00046603">
      <w:pPr>
        <w:spacing w:line="240" w:lineRule="auto"/>
        <w:jc w:val="both"/>
        <w:rPr>
          <w:rFonts w:asciiTheme="minorHAnsi" w:hAnsiTheme="minorHAnsi"/>
          <w:b/>
          <w:color w:val="000000"/>
          <w:sz w:val="24"/>
          <w:szCs w:val="24"/>
        </w:rPr>
      </w:pPr>
    </w:p>
    <w:p w14:paraId="19442BC9" w14:textId="77777777" w:rsidR="00046603" w:rsidRPr="00F16CF7" w:rsidRDefault="00046603" w:rsidP="00046603">
      <w:pPr>
        <w:spacing w:line="240" w:lineRule="auto"/>
        <w:jc w:val="both"/>
        <w:rPr>
          <w:rFonts w:asciiTheme="minorHAnsi" w:hAnsiTheme="minorHAnsi"/>
          <w:color w:val="000000"/>
          <w:sz w:val="24"/>
          <w:szCs w:val="24"/>
        </w:rPr>
      </w:pPr>
      <w:r w:rsidRPr="00F16CF7">
        <w:rPr>
          <w:rFonts w:asciiTheme="minorHAnsi" w:hAnsiTheme="minorHAnsi"/>
          <w:b/>
          <w:color w:val="000000"/>
          <w:sz w:val="24"/>
          <w:szCs w:val="24"/>
        </w:rPr>
        <w:t xml:space="preserve">Figure S1: Histograms showing distributions of various delays for 261 symptomatic COVID-19 cases till 1 June 2020. [A] </w:t>
      </w:r>
      <w:r w:rsidRPr="00F16CF7">
        <w:rPr>
          <w:rFonts w:asciiTheme="minorHAnsi" w:hAnsiTheme="minorHAnsi"/>
          <w:color w:val="000000"/>
          <w:sz w:val="24"/>
          <w:szCs w:val="24"/>
        </w:rPr>
        <w:t xml:space="preserve">Delay from symptom onset to sample collection. </w:t>
      </w:r>
      <w:r w:rsidRPr="00F16CF7">
        <w:rPr>
          <w:rFonts w:asciiTheme="minorHAnsi" w:hAnsiTheme="minorHAnsi"/>
          <w:b/>
          <w:color w:val="000000"/>
          <w:sz w:val="24"/>
          <w:szCs w:val="24"/>
        </w:rPr>
        <w:t>[B]</w:t>
      </w:r>
      <w:r w:rsidRPr="00F16CF7">
        <w:rPr>
          <w:rFonts w:asciiTheme="minorHAnsi" w:hAnsiTheme="minorHAnsi"/>
          <w:color w:val="000000"/>
          <w:sz w:val="24"/>
          <w:szCs w:val="24"/>
        </w:rPr>
        <w:t xml:space="preserve"> Delay from symptom onset to lab confirmation</w:t>
      </w:r>
      <w:r w:rsidRPr="00F16CF7">
        <w:rPr>
          <w:rFonts w:asciiTheme="minorHAnsi" w:hAnsiTheme="minorHAnsi"/>
          <w:b/>
          <w:color w:val="000000"/>
          <w:sz w:val="24"/>
          <w:szCs w:val="24"/>
        </w:rPr>
        <w:t xml:space="preserve">. </w:t>
      </w:r>
      <w:r w:rsidRPr="00F16CF7">
        <w:rPr>
          <w:rFonts w:asciiTheme="minorHAnsi" w:hAnsiTheme="minorHAnsi"/>
          <w:color w:val="000000"/>
          <w:sz w:val="24"/>
          <w:szCs w:val="24"/>
        </w:rPr>
        <w:t xml:space="preserve">See estimates in table S4. </w:t>
      </w:r>
    </w:p>
    <w:p w14:paraId="4EFBE247" w14:textId="7F6685FA" w:rsidR="00D9154B" w:rsidRDefault="00664C43" w:rsidP="00046603">
      <w:pPr>
        <w:spacing w:line="240" w:lineRule="auto"/>
        <w:jc w:val="both"/>
        <w:rPr>
          <w:rFonts w:asciiTheme="minorHAnsi" w:hAnsiTheme="minorHAnsi"/>
          <w:sz w:val="24"/>
          <w:szCs w:val="24"/>
        </w:rPr>
      </w:pPr>
      <w:r>
        <w:rPr>
          <w:rFonts w:asciiTheme="minorHAnsi" w:hAnsiTheme="minorHAnsi"/>
          <w:noProof/>
          <w:sz w:val="24"/>
          <w:szCs w:val="24"/>
        </w:rPr>
        <w:drawing>
          <wp:inline distT="0" distB="0" distL="0" distR="0" wp14:anchorId="1B2ED5D0" wp14:editId="49514C7F">
            <wp:extent cx="2304288" cy="1133856"/>
            <wp:effectExtent l="0" t="0" r="1270" b="9525"/>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304288" cy="1133856"/>
                    </a:xfrm>
                    <a:prstGeom prst="rect">
                      <a:avLst/>
                    </a:prstGeom>
                  </pic:spPr>
                </pic:pic>
              </a:graphicData>
            </a:graphic>
          </wp:inline>
        </w:drawing>
      </w:r>
    </w:p>
    <w:p w14:paraId="07EB073E" w14:textId="77777777" w:rsidR="00D9154B" w:rsidRDefault="00D9154B" w:rsidP="00046603">
      <w:pPr>
        <w:spacing w:line="240" w:lineRule="auto"/>
        <w:jc w:val="both"/>
        <w:rPr>
          <w:rFonts w:asciiTheme="minorHAnsi" w:hAnsiTheme="minorHAnsi"/>
          <w:b/>
          <w:color w:val="000000"/>
          <w:sz w:val="24"/>
          <w:szCs w:val="24"/>
        </w:rPr>
      </w:pPr>
    </w:p>
    <w:p w14:paraId="1885B41E" w14:textId="30249EC0" w:rsidR="00046603" w:rsidRPr="00F16CF7" w:rsidRDefault="00046603" w:rsidP="00046603">
      <w:pPr>
        <w:spacing w:line="240" w:lineRule="auto"/>
        <w:jc w:val="both"/>
        <w:rPr>
          <w:rFonts w:asciiTheme="minorHAnsi" w:hAnsiTheme="minorHAnsi"/>
          <w:sz w:val="24"/>
          <w:szCs w:val="24"/>
        </w:rPr>
      </w:pPr>
      <w:r w:rsidRPr="00F16CF7">
        <w:rPr>
          <w:rFonts w:asciiTheme="minorHAnsi" w:hAnsiTheme="minorHAnsi"/>
          <w:b/>
          <w:color w:val="000000"/>
          <w:sz w:val="24"/>
          <w:szCs w:val="24"/>
        </w:rPr>
        <w:t>Figure S2: Observed offspring distribution of COVID-19 cases in Karnataka, India.</w:t>
      </w:r>
      <w:r w:rsidRPr="00F16CF7">
        <w:rPr>
          <w:rFonts w:asciiTheme="minorHAnsi" w:hAnsiTheme="minorHAnsi"/>
          <w:color w:val="000000"/>
          <w:sz w:val="24"/>
          <w:szCs w:val="24"/>
        </w:rPr>
        <w:t xml:space="preserve"> Bars show observed frequency of the number of individuals infected by each case. </w:t>
      </w:r>
    </w:p>
    <w:p w14:paraId="5C5B91BA" w14:textId="77777777" w:rsidR="00046603" w:rsidRPr="00F16CF7" w:rsidRDefault="00046603" w:rsidP="00046603">
      <w:pPr>
        <w:spacing w:line="240" w:lineRule="auto"/>
        <w:jc w:val="both"/>
        <w:rPr>
          <w:rFonts w:asciiTheme="minorHAnsi" w:hAnsiTheme="minorHAnsi"/>
          <w:color w:val="000000"/>
          <w:sz w:val="24"/>
          <w:szCs w:val="24"/>
        </w:rPr>
      </w:pPr>
      <w:r w:rsidRPr="00F16CF7">
        <w:rPr>
          <w:rFonts w:asciiTheme="minorHAnsi" w:hAnsiTheme="minorHAnsi"/>
          <w:b/>
          <w:color w:val="000000"/>
          <w:sz w:val="24"/>
          <w:szCs w:val="24"/>
        </w:rPr>
        <w:t>[A]</w:t>
      </w:r>
      <w:r w:rsidRPr="00F16CF7">
        <w:rPr>
          <w:rFonts w:asciiTheme="minorHAnsi" w:hAnsiTheme="minorHAnsi"/>
          <w:color w:val="000000"/>
          <w:sz w:val="24"/>
          <w:szCs w:val="24"/>
        </w:rPr>
        <w:t xml:space="preserve"> Till 1 June (n=3404), </w:t>
      </w:r>
      <w:r w:rsidRPr="00F16CF7">
        <w:rPr>
          <w:rFonts w:asciiTheme="minorHAnsi" w:hAnsiTheme="minorHAnsi"/>
          <w:b/>
          <w:color w:val="000000"/>
          <w:sz w:val="24"/>
          <w:szCs w:val="24"/>
        </w:rPr>
        <w:t>[B]</w:t>
      </w:r>
      <w:r w:rsidRPr="00F16CF7">
        <w:rPr>
          <w:rFonts w:asciiTheme="minorHAnsi" w:hAnsiTheme="minorHAnsi"/>
          <w:color w:val="000000"/>
          <w:sz w:val="24"/>
          <w:szCs w:val="24"/>
        </w:rPr>
        <w:t xml:space="preserve"> Till 13 June (n=6824), </w:t>
      </w:r>
      <w:r w:rsidRPr="00F16CF7">
        <w:rPr>
          <w:rFonts w:asciiTheme="minorHAnsi" w:hAnsiTheme="minorHAnsi"/>
          <w:b/>
          <w:color w:val="000000"/>
          <w:sz w:val="24"/>
          <w:szCs w:val="24"/>
        </w:rPr>
        <w:t>[C]</w:t>
      </w:r>
      <w:r w:rsidRPr="00F16CF7">
        <w:rPr>
          <w:rFonts w:asciiTheme="minorHAnsi" w:hAnsiTheme="minorHAnsi"/>
          <w:color w:val="000000"/>
          <w:sz w:val="24"/>
          <w:szCs w:val="24"/>
        </w:rPr>
        <w:t xml:space="preserve"> Till 21 July (n=71068). See estimates in table S2. </w:t>
      </w:r>
    </w:p>
    <w:p w14:paraId="5616BEE7" w14:textId="791E0882" w:rsidR="00046603" w:rsidRPr="00F16CF7" w:rsidRDefault="00664C43" w:rsidP="00046603">
      <w:pPr>
        <w:rPr>
          <w:rFonts w:asciiTheme="minorHAnsi" w:hAnsiTheme="minorHAnsi"/>
        </w:rPr>
      </w:pPr>
      <w:r>
        <w:rPr>
          <w:rFonts w:asciiTheme="minorHAnsi" w:hAnsiTheme="minorHAnsi"/>
          <w:noProof/>
        </w:rPr>
        <w:drawing>
          <wp:inline distT="0" distB="0" distL="0" distR="0" wp14:anchorId="103967A1" wp14:editId="674543F8">
            <wp:extent cx="3599688" cy="920496"/>
            <wp:effectExtent l="0" t="0" r="1270" b="0"/>
            <wp:docPr id="2" name="Picture 2"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 hist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599688" cy="920496"/>
                    </a:xfrm>
                    <a:prstGeom prst="rect">
                      <a:avLst/>
                    </a:prstGeom>
                  </pic:spPr>
                </pic:pic>
              </a:graphicData>
            </a:graphic>
          </wp:inline>
        </w:drawing>
      </w:r>
    </w:p>
    <w:p w14:paraId="41A68A32" w14:textId="77777777" w:rsidR="00046603" w:rsidRPr="00F16CF7" w:rsidRDefault="00046603" w:rsidP="00046603">
      <w:pPr>
        <w:rPr>
          <w:rFonts w:asciiTheme="minorHAnsi" w:hAnsiTheme="minorHAnsi"/>
        </w:rPr>
      </w:pPr>
    </w:p>
    <w:p w14:paraId="2D1077AF" w14:textId="77777777" w:rsidR="00046603" w:rsidRPr="00F16CF7" w:rsidRDefault="00046603" w:rsidP="00046603">
      <w:pPr>
        <w:pBdr>
          <w:top w:val="nil"/>
          <w:left w:val="nil"/>
          <w:bottom w:val="nil"/>
          <w:right w:val="nil"/>
          <w:between w:val="nil"/>
        </w:pBdr>
        <w:rPr>
          <w:rFonts w:asciiTheme="minorHAnsi" w:hAnsiTheme="minorHAnsi"/>
          <w:b/>
          <w:color w:val="000000"/>
          <w:sz w:val="24"/>
          <w:szCs w:val="24"/>
          <w:u w:val="single"/>
        </w:rPr>
      </w:pPr>
      <w:r w:rsidRPr="00F16CF7">
        <w:rPr>
          <w:rFonts w:asciiTheme="minorHAnsi" w:hAnsiTheme="minorHAnsi"/>
          <w:b/>
          <w:color w:val="000000"/>
          <w:sz w:val="24"/>
          <w:szCs w:val="24"/>
          <w:u w:val="single"/>
        </w:rPr>
        <w:t xml:space="preserve">References (for </w:t>
      </w:r>
      <w:r>
        <w:rPr>
          <w:rFonts w:asciiTheme="minorHAnsi" w:hAnsiTheme="minorHAnsi"/>
          <w:b/>
          <w:color w:val="000000"/>
          <w:sz w:val="24"/>
          <w:szCs w:val="24"/>
          <w:u w:val="single"/>
        </w:rPr>
        <w:t>supporting</w:t>
      </w:r>
      <w:r w:rsidRPr="00F16CF7">
        <w:rPr>
          <w:rFonts w:asciiTheme="minorHAnsi" w:hAnsiTheme="minorHAnsi"/>
          <w:b/>
          <w:color w:val="000000"/>
          <w:sz w:val="24"/>
          <w:szCs w:val="24"/>
          <w:u w:val="single"/>
        </w:rPr>
        <w:t xml:space="preserve"> materials)</w:t>
      </w:r>
    </w:p>
    <w:p w14:paraId="6BCC2E0B" w14:textId="77777777" w:rsidR="00046603" w:rsidRPr="00F16CF7" w:rsidRDefault="00046603" w:rsidP="00046603">
      <w:pPr>
        <w:rPr>
          <w:rFonts w:asciiTheme="minorHAnsi" w:hAnsiTheme="minorHAnsi"/>
          <w:sz w:val="24"/>
          <w:szCs w:val="24"/>
        </w:rPr>
      </w:pPr>
    </w:p>
    <w:p w14:paraId="130F420D"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1</w:t>
      </w:r>
      <w:r w:rsidRPr="00F16CF7">
        <w:rPr>
          <w:rFonts w:asciiTheme="minorHAnsi" w:hAnsiTheme="minorHAnsi"/>
          <w:color w:val="000000"/>
          <w:sz w:val="24"/>
          <w:szCs w:val="24"/>
        </w:rPr>
        <w:tab/>
        <w:t>Health and Family Welfare Department, Government of Karnataka. Revised Quarantine and Testing Protocol for Primary-High Risk Contacts and Secondary - Low Risk Contacts. https://covid19.karnataka.gov.in/storage/pdf-files/cir-hws/Revised%20Quarantine%20and%20Testing%20Protocol%20for%20Primary-High%20Risk%20Contacts%20and%20Secondary%20-%20Low%20Risk%20Contacts.pdf.</w:t>
      </w:r>
    </w:p>
    <w:p w14:paraId="4B65AF7C"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2</w:t>
      </w:r>
      <w:r w:rsidRPr="00F16CF7">
        <w:rPr>
          <w:rFonts w:asciiTheme="minorHAnsi" w:hAnsiTheme="minorHAnsi"/>
          <w:color w:val="000000"/>
          <w:sz w:val="24"/>
          <w:szCs w:val="24"/>
        </w:rPr>
        <w:tab/>
        <w:t xml:space="preserve">Li R, Pei S, Chen B, </w:t>
      </w:r>
      <w:r w:rsidRPr="00F16CF7">
        <w:rPr>
          <w:rFonts w:asciiTheme="minorHAnsi" w:hAnsiTheme="minorHAnsi"/>
          <w:i/>
          <w:color w:val="000000"/>
          <w:sz w:val="24"/>
          <w:szCs w:val="24"/>
        </w:rPr>
        <w:t>et al.</w:t>
      </w:r>
      <w:r w:rsidRPr="00F16CF7">
        <w:rPr>
          <w:rFonts w:asciiTheme="minorHAnsi" w:hAnsiTheme="minorHAnsi"/>
          <w:color w:val="000000"/>
          <w:sz w:val="24"/>
          <w:szCs w:val="24"/>
        </w:rPr>
        <w:t xml:space="preserve"> Substantial undocumented infection facilitates the rapid dissemination of novel coronavirus (SARS-CoV2). </w:t>
      </w:r>
      <w:r w:rsidRPr="00F16CF7">
        <w:rPr>
          <w:rFonts w:asciiTheme="minorHAnsi" w:hAnsiTheme="minorHAnsi"/>
          <w:i/>
          <w:color w:val="000000"/>
          <w:sz w:val="24"/>
          <w:szCs w:val="24"/>
        </w:rPr>
        <w:t>Science</w:t>
      </w:r>
      <w:r w:rsidRPr="00F16CF7">
        <w:rPr>
          <w:rFonts w:asciiTheme="minorHAnsi" w:hAnsiTheme="minorHAnsi"/>
          <w:color w:val="000000"/>
          <w:sz w:val="24"/>
          <w:szCs w:val="24"/>
        </w:rPr>
        <w:t xml:space="preserve"> 2020; published online March 16. DOI:10.1126/science.abb3221.</w:t>
      </w:r>
    </w:p>
    <w:p w14:paraId="1709FBD2"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3</w:t>
      </w:r>
      <w:r w:rsidRPr="00F16CF7">
        <w:rPr>
          <w:rFonts w:asciiTheme="minorHAnsi" w:hAnsiTheme="minorHAnsi"/>
          <w:color w:val="000000"/>
          <w:sz w:val="24"/>
          <w:szCs w:val="24"/>
        </w:rPr>
        <w:tab/>
        <w:t xml:space="preserve">Adam DC, Wu P, Wong JY, </w:t>
      </w:r>
      <w:r w:rsidRPr="00F16CF7">
        <w:rPr>
          <w:rFonts w:asciiTheme="minorHAnsi" w:hAnsiTheme="minorHAnsi"/>
          <w:i/>
          <w:color w:val="000000"/>
          <w:sz w:val="24"/>
          <w:szCs w:val="24"/>
        </w:rPr>
        <w:t>et al.</w:t>
      </w:r>
      <w:r w:rsidRPr="00F16CF7">
        <w:rPr>
          <w:rFonts w:asciiTheme="minorHAnsi" w:hAnsiTheme="minorHAnsi"/>
          <w:color w:val="000000"/>
          <w:sz w:val="24"/>
          <w:szCs w:val="24"/>
        </w:rPr>
        <w:t xml:space="preserve"> Clustering and superspreading potential of SARS-CoV-2 infections in Hong Kong. </w:t>
      </w:r>
      <w:r w:rsidRPr="00F16CF7">
        <w:rPr>
          <w:rFonts w:asciiTheme="minorHAnsi" w:hAnsiTheme="minorHAnsi"/>
          <w:i/>
          <w:color w:val="000000"/>
          <w:sz w:val="24"/>
          <w:szCs w:val="24"/>
        </w:rPr>
        <w:t>Nat Med</w:t>
      </w:r>
      <w:r w:rsidRPr="00F16CF7">
        <w:rPr>
          <w:rFonts w:asciiTheme="minorHAnsi" w:hAnsiTheme="minorHAnsi"/>
          <w:color w:val="000000"/>
          <w:sz w:val="24"/>
          <w:szCs w:val="24"/>
        </w:rPr>
        <w:t xml:space="preserve"> 2020; </w:t>
      </w:r>
      <w:r w:rsidRPr="00F16CF7">
        <w:rPr>
          <w:rFonts w:asciiTheme="minorHAnsi" w:hAnsiTheme="minorHAnsi"/>
          <w:b/>
          <w:color w:val="000000"/>
          <w:sz w:val="24"/>
          <w:szCs w:val="24"/>
        </w:rPr>
        <w:t>26</w:t>
      </w:r>
      <w:r w:rsidRPr="00F16CF7">
        <w:rPr>
          <w:rFonts w:asciiTheme="minorHAnsi" w:hAnsiTheme="minorHAnsi"/>
          <w:color w:val="000000"/>
          <w:sz w:val="24"/>
          <w:szCs w:val="24"/>
        </w:rPr>
        <w:t>: 1714–9.</w:t>
      </w:r>
    </w:p>
    <w:p w14:paraId="750E5D9C"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4</w:t>
      </w:r>
      <w:r w:rsidRPr="00F16CF7">
        <w:rPr>
          <w:rFonts w:asciiTheme="minorHAnsi" w:hAnsiTheme="minorHAnsi"/>
          <w:color w:val="000000"/>
          <w:sz w:val="24"/>
          <w:szCs w:val="24"/>
        </w:rPr>
        <w:tab/>
        <w:t xml:space="preserve">Lau MSY, Grenfell B, Thomas M, Bryan M, Nelson K, </w:t>
      </w:r>
      <w:proofErr w:type="spellStart"/>
      <w:r w:rsidRPr="00F16CF7">
        <w:rPr>
          <w:rFonts w:asciiTheme="minorHAnsi" w:hAnsiTheme="minorHAnsi"/>
          <w:color w:val="000000"/>
          <w:sz w:val="24"/>
          <w:szCs w:val="24"/>
        </w:rPr>
        <w:t>Lopman</w:t>
      </w:r>
      <w:proofErr w:type="spellEnd"/>
      <w:r w:rsidRPr="00F16CF7">
        <w:rPr>
          <w:rFonts w:asciiTheme="minorHAnsi" w:hAnsiTheme="minorHAnsi"/>
          <w:color w:val="000000"/>
          <w:sz w:val="24"/>
          <w:szCs w:val="24"/>
        </w:rPr>
        <w:t xml:space="preserve"> B. Characterizing superspreading events and age-specific infectiousness of SARS-CoV-2 transmission in Georgia, USA. </w:t>
      </w:r>
      <w:r w:rsidRPr="00F16CF7">
        <w:rPr>
          <w:rFonts w:asciiTheme="minorHAnsi" w:hAnsiTheme="minorHAnsi"/>
          <w:i/>
          <w:color w:val="000000"/>
          <w:sz w:val="24"/>
          <w:szCs w:val="24"/>
        </w:rPr>
        <w:t>Proc Natl Acad Sci</w:t>
      </w:r>
      <w:r w:rsidRPr="00F16CF7">
        <w:rPr>
          <w:rFonts w:asciiTheme="minorHAnsi" w:hAnsiTheme="minorHAnsi"/>
          <w:color w:val="000000"/>
          <w:sz w:val="24"/>
          <w:szCs w:val="24"/>
        </w:rPr>
        <w:t xml:space="preserve"> 2020; </w:t>
      </w:r>
      <w:r w:rsidRPr="00F16CF7">
        <w:rPr>
          <w:rFonts w:asciiTheme="minorHAnsi" w:hAnsiTheme="minorHAnsi"/>
          <w:b/>
          <w:color w:val="000000"/>
          <w:sz w:val="24"/>
          <w:szCs w:val="24"/>
        </w:rPr>
        <w:t>117</w:t>
      </w:r>
      <w:r w:rsidRPr="00F16CF7">
        <w:rPr>
          <w:rFonts w:asciiTheme="minorHAnsi" w:hAnsiTheme="minorHAnsi"/>
          <w:color w:val="000000"/>
          <w:sz w:val="24"/>
          <w:szCs w:val="24"/>
        </w:rPr>
        <w:t>: 22430–5.</w:t>
      </w:r>
    </w:p>
    <w:p w14:paraId="432A1DF6"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5</w:t>
      </w:r>
      <w:r w:rsidRPr="00F16CF7">
        <w:rPr>
          <w:rFonts w:asciiTheme="minorHAnsi" w:hAnsiTheme="minorHAnsi"/>
          <w:color w:val="000000"/>
          <w:sz w:val="24"/>
          <w:szCs w:val="24"/>
        </w:rPr>
        <w:tab/>
        <w:t>Knight G, Leclerc QJ, Kucharski AJ. Analysis of SARS-CoV-2 transmission clusters and superspreading events. 2020; published online June 3.</w:t>
      </w:r>
    </w:p>
    <w:p w14:paraId="41CC3C9C"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6</w:t>
      </w:r>
      <w:r w:rsidRPr="00F16CF7">
        <w:rPr>
          <w:rFonts w:asciiTheme="minorHAnsi" w:hAnsiTheme="minorHAnsi"/>
          <w:color w:val="000000"/>
          <w:sz w:val="24"/>
          <w:szCs w:val="24"/>
        </w:rPr>
        <w:tab/>
        <w:t xml:space="preserve">Zou G. A Modified Poisson Regression Approach to Prospective Studies with Binary Data. </w:t>
      </w:r>
      <w:r w:rsidRPr="00F16CF7">
        <w:rPr>
          <w:rFonts w:asciiTheme="minorHAnsi" w:hAnsiTheme="minorHAnsi"/>
          <w:i/>
          <w:color w:val="000000"/>
          <w:sz w:val="24"/>
          <w:szCs w:val="24"/>
        </w:rPr>
        <w:t>Am J Epidemiol</w:t>
      </w:r>
      <w:r w:rsidRPr="00F16CF7">
        <w:rPr>
          <w:rFonts w:asciiTheme="minorHAnsi" w:hAnsiTheme="minorHAnsi"/>
          <w:color w:val="000000"/>
          <w:sz w:val="24"/>
          <w:szCs w:val="24"/>
        </w:rPr>
        <w:t xml:space="preserve"> 2004; </w:t>
      </w:r>
      <w:r w:rsidRPr="00F16CF7">
        <w:rPr>
          <w:rFonts w:asciiTheme="minorHAnsi" w:hAnsiTheme="minorHAnsi"/>
          <w:b/>
          <w:color w:val="000000"/>
          <w:sz w:val="24"/>
          <w:szCs w:val="24"/>
        </w:rPr>
        <w:t>159</w:t>
      </w:r>
      <w:r w:rsidRPr="00F16CF7">
        <w:rPr>
          <w:rFonts w:asciiTheme="minorHAnsi" w:hAnsiTheme="minorHAnsi"/>
          <w:color w:val="000000"/>
          <w:sz w:val="24"/>
          <w:szCs w:val="24"/>
        </w:rPr>
        <w:t>: 702–6.</w:t>
      </w:r>
    </w:p>
    <w:p w14:paraId="533E0922"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7</w:t>
      </w:r>
      <w:r w:rsidRPr="00F16CF7">
        <w:rPr>
          <w:rFonts w:asciiTheme="minorHAnsi" w:hAnsiTheme="minorHAnsi"/>
          <w:color w:val="000000"/>
          <w:sz w:val="24"/>
          <w:szCs w:val="24"/>
        </w:rPr>
        <w:tab/>
        <w:t>Public health criteria to adjust public health and social measures in the context of COVID-19: annex to considerations in adjusting public health and social measures in the context of COVID-19, 12 May 2020. World Health Organization, 2020.</w:t>
      </w:r>
    </w:p>
    <w:p w14:paraId="0DF13CBD"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8</w:t>
      </w:r>
      <w:r w:rsidRPr="00F16CF7">
        <w:rPr>
          <w:rFonts w:asciiTheme="minorHAnsi" w:hAnsiTheme="minorHAnsi"/>
          <w:color w:val="000000"/>
          <w:sz w:val="24"/>
          <w:szCs w:val="24"/>
        </w:rPr>
        <w:tab/>
        <w:t>Considerations in adjusting public health and social measures in the context of COVID-19: interim guidance, 16 April 2020. World Health Organization, 2020.</w:t>
      </w:r>
    </w:p>
    <w:p w14:paraId="7AB3DAE6" w14:textId="77777777" w:rsidR="00046603" w:rsidRPr="00F16CF7" w:rsidRDefault="00046603" w:rsidP="00046603">
      <w:pPr>
        <w:pBdr>
          <w:top w:val="nil"/>
          <w:left w:val="nil"/>
          <w:bottom w:val="nil"/>
          <w:right w:val="nil"/>
          <w:between w:val="nil"/>
        </w:pBdr>
        <w:spacing w:line="360" w:lineRule="auto"/>
        <w:rPr>
          <w:rFonts w:asciiTheme="minorHAnsi" w:hAnsiTheme="minorHAnsi"/>
          <w:color w:val="000000"/>
          <w:sz w:val="24"/>
          <w:szCs w:val="24"/>
        </w:rPr>
      </w:pPr>
      <w:r w:rsidRPr="00F16CF7">
        <w:rPr>
          <w:rFonts w:asciiTheme="minorHAnsi" w:hAnsiTheme="minorHAnsi"/>
          <w:color w:val="000000"/>
          <w:sz w:val="24"/>
          <w:szCs w:val="24"/>
        </w:rPr>
        <w:t>9</w:t>
      </w:r>
      <w:r w:rsidRPr="00F16CF7">
        <w:rPr>
          <w:rFonts w:asciiTheme="minorHAnsi" w:hAnsiTheme="minorHAnsi"/>
          <w:color w:val="000000"/>
          <w:sz w:val="24"/>
          <w:szCs w:val="24"/>
        </w:rPr>
        <w:tab/>
        <w:t>Indian Council of Medical Research (ICMR). Testing Strategy Updates for COVID-19 in India. https://www.icmr.gov.in/cteststrat.html (accessed Dec 3, 2020).</w:t>
      </w:r>
    </w:p>
    <w:p w14:paraId="60E1AB41" w14:textId="77777777" w:rsidR="00046603" w:rsidRPr="00F16CF7" w:rsidRDefault="00046603" w:rsidP="00046603">
      <w:pPr>
        <w:spacing w:line="360" w:lineRule="auto"/>
        <w:rPr>
          <w:rFonts w:asciiTheme="minorHAnsi" w:hAnsiTheme="minorHAnsi"/>
        </w:rPr>
      </w:pPr>
    </w:p>
    <w:p w14:paraId="4C73C6A3" w14:textId="77777777" w:rsidR="00046603" w:rsidRPr="00F16CF7" w:rsidRDefault="00046603" w:rsidP="00046603">
      <w:pPr>
        <w:rPr>
          <w:rFonts w:asciiTheme="minorHAnsi" w:hAnsiTheme="minorHAnsi"/>
        </w:rPr>
      </w:pPr>
    </w:p>
    <w:p w14:paraId="109835E2" w14:textId="77777777" w:rsidR="00046603" w:rsidRPr="00F16CF7" w:rsidRDefault="00046603" w:rsidP="00046603">
      <w:pPr>
        <w:rPr>
          <w:rFonts w:asciiTheme="minorHAnsi" w:hAnsiTheme="minorHAnsi"/>
          <w:color w:val="000000" w:themeColor="text1"/>
        </w:rPr>
      </w:pPr>
    </w:p>
    <w:p w14:paraId="353CBFBB" w14:textId="77777777" w:rsidR="001D572D" w:rsidRPr="00046603" w:rsidRDefault="00664C43" w:rsidP="00046603"/>
    <w:sectPr w:rsidR="001D572D" w:rsidRPr="00046603" w:rsidSect="0030402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75E60"/>
    <w:multiLevelType w:val="multilevel"/>
    <w:tmpl w:val="B9DCC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87FD1"/>
    <w:multiLevelType w:val="multilevel"/>
    <w:tmpl w:val="B1FCB0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7D87725"/>
    <w:multiLevelType w:val="multilevel"/>
    <w:tmpl w:val="4DE019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10901592">
    <w:abstractNumId w:val="0"/>
  </w:num>
  <w:num w:numId="2" w16cid:durableId="947006345">
    <w:abstractNumId w:val="1"/>
  </w:num>
  <w:num w:numId="3" w16cid:durableId="1051926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AA0"/>
    <w:rsid w:val="00046603"/>
    <w:rsid w:val="0030402C"/>
    <w:rsid w:val="004F21B8"/>
    <w:rsid w:val="005D633D"/>
    <w:rsid w:val="00664C43"/>
    <w:rsid w:val="00963AC7"/>
    <w:rsid w:val="00A371EE"/>
    <w:rsid w:val="00A9723C"/>
    <w:rsid w:val="00C47AA0"/>
    <w:rsid w:val="00D71A70"/>
    <w:rsid w:val="00D915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2123A"/>
  <w14:defaultImageDpi w14:val="32767"/>
  <w15:chartTrackingRefBased/>
  <w15:docId w15:val="{08FFB75F-4B25-FD46-9AD2-CCD8A0DE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C47AA0"/>
    <w:pPr>
      <w:spacing w:line="276" w:lineRule="auto"/>
    </w:pPr>
    <w:rPr>
      <w:rFonts w:ascii="Arial" w:eastAsia="Arial" w:hAnsi="Arial" w:cs="Arial"/>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Relationship Id="rId5" Type="http://schemas.openxmlformats.org/officeDocument/2006/relationships/image" Target="media/image1.t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1989</Words>
  <Characters>11338</Characters>
  <Application>Microsoft Office Word</Application>
  <DocSecurity>0</DocSecurity>
  <Lines>94</Lines>
  <Paragraphs>26</Paragraphs>
  <ScaleCrop>false</ScaleCrop>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MANRAJ SRA</dc:creator>
  <cp:keywords/>
  <dc:description/>
  <cp:lastModifiedBy>chn off32</cp:lastModifiedBy>
  <cp:revision>5</cp:revision>
  <dcterms:created xsi:type="dcterms:W3CDTF">2021-10-11T15:00:00Z</dcterms:created>
  <dcterms:modified xsi:type="dcterms:W3CDTF">2022-07-04T02:48:00Z</dcterms:modified>
</cp:coreProperties>
</file>