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80"/>
        <w:jc w:val="center"/>
      </w:pPr>
      <w:r>
        <w:rPr>
          <w:rFonts w:ascii="Calibri" w:hAnsi="Calibri"/>
          <w:b/>
          <w:color w:val="0B2545"/>
          <w:sz w:val="48"/>
        </w:rPr>
        <w:t>Commercial Proposal</w:t>
      </w:r>
    </w:p>
    <w:p>
      <w:pPr>
        <w:spacing w:after="600"/>
        <w:jc w:val="center"/>
      </w:pPr>
      <w:r>
        <w:rPr>
          <w:rFonts w:ascii="Calibri" w:hAnsi="Calibri"/>
          <w:b/>
          <w:color w:val="5B636E"/>
          <w:sz w:val="28"/>
        </w:rPr>
        <w:t>East Africa Cup Tournament Website</w:t>
      </w:r>
    </w:p>
    <w:tbl>
      <w:tblPr>
        <w:tblW w:type="dxa" w:w="72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00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Prepared For: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82828"/>
                <w:sz w:val="21"/>
              </w:rPr>
              <w:t>East Africa Cup Organizing Committee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Prepared By: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82828"/>
                <w:sz w:val="21"/>
              </w:rPr>
              <w:t>Austin Kuka (Tekbots Solutions)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Date: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82828"/>
                <w:sz w:val="21"/>
              </w:rPr>
              <w:t>June 30, 2026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Valid Until: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282828"/>
                <w:sz w:val="21"/>
              </w:rPr>
              <w:t>July 30, 2026</w:t>
            </w:r>
          </w:p>
        </w:tc>
      </w:tr>
    </w:tbl>
    <w:p>
      <w:pPr>
        <w:spacing w:before="3000" w:after="40"/>
        <w:jc w:val="center"/>
      </w:pPr>
      <w:r>
        <w:rPr>
          <w:rFonts w:ascii="Calibri" w:hAnsi="Calibri"/>
          <w:b/>
          <w:color w:val="1C7E62"/>
          <w:sz w:val="32"/>
        </w:rPr>
        <w:t>TEKBOTS SOLUTIONS</w:t>
      </w:r>
    </w:p>
    <w:p>
      <w:pPr>
        <w:spacing w:after="0"/>
        <w:jc w:val="center"/>
      </w:pPr>
      <w:r>
        <w:rPr>
          <w:rFonts w:ascii="Calibri" w:hAnsi="Calibri"/>
          <w:b/>
          <w:color w:val="B08420"/>
          <w:sz w:val="21"/>
        </w:rPr>
        <w:t>ANALYZE | DESIGN | BUILD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t>Tekbots Solutions is pleased to present this proposal for the design and development of the East Africa Cup Tournament Website. The solution will give the tournament a professional digital home while providing the organizing team with practical tools for team registration, applicant intake, sponsor visibility, fixtures, results, tables, match details, and award records.</w:t>
      </w:r>
    </w:p>
    <w:p>
      <w:pPr>
        <w:spacing w:after="120"/>
      </w:pPr>
      <w:r>
        <w:t>The recommended first build is a production-ready MVP that supports the 1st Edition of East Africa Cup and creates a reusable foundation for future editions, additional disciplines, new sponsor packages, and expanded match-day operations.</w:t>
      </w:r>
    </w:p>
    <w:p>
      <w:pPr>
        <w:pStyle w:val="Heading1"/>
      </w:pPr>
      <w:r>
        <w:t>2. Project Timeline</w:t>
      </w:r>
    </w:p>
    <w:p>
      <w:pPr>
        <w:spacing w:after="120"/>
      </w:pPr>
      <w:r>
        <w:t>We estimate a total delivery time of 8-10 weeks from the date of contract signing, content readiness, and initial payment.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6160"/>
        <w:gridCol w:w="180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Phase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Activity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Duration</w:t>
            </w:r>
          </w:p>
        </w:tc>
      </w:tr>
      <w:tr>
        <w:tc>
          <w:tcPr>
            <w:tcW w:type="dxa" w:w="1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Phase 1</w:t>
            </w:r>
          </w:p>
        </w:tc>
        <w:tc>
          <w:tcPr>
            <w:tcW w:type="dxa" w:w="6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Discovery, sitemap, data model, content checklist, and tournament workflow confirmation.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Week 1</w:t>
            </w:r>
          </w:p>
        </w:tc>
      </w:tr>
      <w:tr>
        <w:tc>
          <w:tcPr>
            <w:tcW w:type="dxa" w:w="1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Phase 2</w:t>
            </w:r>
          </w:p>
        </w:tc>
        <w:tc>
          <w:tcPr>
            <w:tcW w:type="dxa" w:w="6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UI/UX design system, homepage concept, public page layouts, and responsive component library.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Week 2-3</w:t>
            </w:r>
          </w:p>
        </w:tc>
      </w:tr>
      <w:tr>
        <w:tc>
          <w:tcPr>
            <w:tcW w:type="dxa" w:w="1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Phase 3</w:t>
            </w:r>
          </w:p>
        </w:tc>
        <w:tc>
          <w:tcPr>
            <w:tcW w:type="dxa" w:w="6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Team registration, guidelines, registered teams, work/vendor/branding applications, and poster gallery.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Week 4-5</w:t>
            </w:r>
          </w:p>
        </w:tc>
      </w:tr>
      <w:tr>
        <w:tc>
          <w:tcPr>
            <w:tcW w:type="dxa" w:w="1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Phase 4</w:t>
            </w:r>
          </w:p>
        </w:tc>
        <w:tc>
          <w:tcPr>
            <w:tcW w:type="dxa" w:w="6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Fixtures, results, tables, match detail pages, player of the tournament records, and admin controls.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Week 6-7</w:t>
            </w:r>
          </w:p>
        </w:tc>
      </w:tr>
      <w:tr>
        <w:tc>
          <w:tcPr>
            <w:tcW w:type="dxa" w:w="1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Phase 5</w:t>
            </w:r>
          </w:p>
        </w:tc>
        <w:tc>
          <w:tcPr>
            <w:tcW w:type="dxa" w:w="6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Admin CMS setup, content loading, QA, performance pass, security review, and UAT fixes.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Week 8-9</w:t>
            </w:r>
          </w:p>
        </w:tc>
      </w:tr>
      <w:tr>
        <w:tc>
          <w:tcPr>
            <w:tcW w:type="dxa" w:w="1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Phase 6</w:t>
            </w:r>
          </w:p>
        </w:tc>
        <w:tc>
          <w:tcPr>
            <w:tcW w:type="dxa" w:w="61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Training, deployment, handover, launch support, and go-live.</w:t>
            </w:r>
          </w:p>
        </w:tc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Week 10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Financial Investment</w:t>
      </w:r>
    </w:p>
    <w:p>
      <w:pPr>
        <w:pStyle w:val="Heading2"/>
      </w:pPr>
      <w:r>
        <w:t>A. Development Costs (One-Off)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5260"/>
        <w:gridCol w:w="170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A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Item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A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Description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A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Amount (KES)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Product Discovery &amp; Architecture</w:t>
            </w:r>
          </w:p>
        </w:tc>
        <w:tc>
          <w:tcPr>
            <w:tcW w:type="dxa" w:w="5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Sitemap, feature specification, data model, user roles, and implementation plan.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18,000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UI/UX Design System</w:t>
            </w:r>
          </w:p>
        </w:tc>
        <w:tc>
          <w:tcPr>
            <w:tcW w:type="dxa" w:w="5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Modern tournament identity, responsive layouts, component styling, and visual polish.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32,000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Public Website Build</w:t>
            </w:r>
          </w:p>
        </w:tc>
        <w:tc>
          <w:tcPr>
            <w:tcW w:type="dxa" w:w="5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Home, About Us, Partners, Contacts, Sponsors, and East Africa Cup 1st Edition landing experience.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35,000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Registration &amp; Application Workflows</w:t>
            </w:r>
          </w:p>
        </w:tc>
        <w:tc>
          <w:tcPr>
            <w:tcW w:type="dxa" w:w="5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Team registration, guidelines, registered teams, work applications, vendor applications, branding inquiries, and poster gallery.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45,000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Tournament Management Suite</w:t>
            </w:r>
          </w:p>
        </w:tc>
        <w:tc>
          <w:tcPr>
            <w:tcW w:type="dxa" w:w="5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Fixtures, results, tables, match details, and player of the tournament records across Under 7, 9, 11, 13, 15, and 17 disciplines.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58,000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Admin Portal &amp; CMS</w:t>
            </w:r>
          </w:p>
        </w:tc>
        <w:tc>
          <w:tcPr>
            <w:tcW w:type="dxa" w:w="5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Secure admin dashboard for content, forms, approvals, tournament data, sponsor/partner records, and exports.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32,000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Quality Assurance, Deployment &amp; Training</w:t>
            </w:r>
          </w:p>
        </w:tc>
        <w:tc>
          <w:tcPr>
            <w:tcW w:type="dxa" w:w="5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Testing, launch configuration, performance checks, admin training, and handover notes.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20,000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Domain Setup</w:t>
            </w:r>
          </w:p>
        </w:tc>
        <w:tc>
          <w:tcPr>
            <w:tcW w:type="dxa" w:w="5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Domain registration/setup support for the first year where required.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3,500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TOTAL DEVELOPMENT COST</w:t>
            </w:r>
          </w:p>
        </w:tc>
        <w:tc>
          <w:tcPr>
            <w:tcW w:type="dxa" w:w="52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Recommended MVP build.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243,500</w:t>
            </w:r>
          </w:p>
        </w:tc>
      </w:tr>
    </w:tbl>
    <w:p>
      <w:pPr>
        <w:spacing w:after="40"/>
      </w:pPr>
    </w:p>
    <w:p>
      <w:pPr>
        <w:pStyle w:val="Heading2"/>
      </w:pPr>
      <w:r>
        <w:t>B. Annual Recurring Costs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5060"/>
        <w:gridCol w:w="170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Service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Description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Amount (KES)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Annual Maintenance Contract (AMC)</w:t>
            </w:r>
          </w:p>
        </w:tc>
        <w:tc>
          <w:tcPr>
            <w:tcW w:type="dxa" w:w="5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Support, minor system changes, upgrades, bug fixes, monitoring, and post-launch advisory. Can be paid monthly at 5,000.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60,000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Domain Renewal</w:t>
            </w:r>
          </w:p>
        </w:tc>
        <w:tc>
          <w:tcPr>
            <w:tcW w:type="dxa" w:w="5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Yearly renewal fee. Exact amount depends on selected domain extension.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3,500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SMS Sender ID (Optional)</w:t>
            </w:r>
          </w:p>
        </w:tc>
        <w:tc>
          <w:tcPr>
            <w:tcW w:type="dxa" w:w="5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Safaricom sender ID. Bundle with Safaricom + Airtel may be available at a higher rate.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8,700 (14,100)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TOTAL ANNUAL</w:t>
            </w:r>
          </w:p>
        </w:tc>
        <w:tc>
          <w:tcPr>
            <w:tcW w:type="dxa" w:w="5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Fixed annual estimate excluding optional bulk campaign costs.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72,200 (77,600)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C. Monthly &amp; Usage Costs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4660"/>
        <w:gridCol w:w="220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6D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Service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6D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Est. Cost Basis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6D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Est. Cost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Cloud Database &amp; Storage</w:t>
            </w:r>
          </w:p>
        </w:tc>
        <w:tc>
          <w:tcPr>
            <w:tcW w:type="dxa" w:w="46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Supabase Pro or equivalent backend hosting and data storage.</w:t>
            </w:r>
          </w:p>
        </w:tc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~2,700 KES / Month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Frontend Hosting</w:t>
            </w:r>
          </w:p>
        </w:tc>
        <w:tc>
          <w:tcPr>
            <w:tcW w:type="dxa" w:w="46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Vercel/Netlify Pro or equivalent production hosting tier.</w:t>
            </w:r>
          </w:p>
        </w:tc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~2,700 KES / Month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Custom Email Hosting</w:t>
            </w:r>
          </w:p>
        </w:tc>
        <w:tc>
          <w:tcPr>
            <w:tcW w:type="dxa" w:w="46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Professional domain email for organizer communication.</w:t>
            </w:r>
          </w:p>
        </w:tc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~700 KES / Month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Media Storage/CDN Buffer</w:t>
            </w:r>
          </w:p>
        </w:tc>
        <w:tc>
          <w:tcPr>
            <w:tcW w:type="dxa" w:w="46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Poster, team logo, sponsor image, and uploaded document storage allowance.</w:t>
            </w:r>
          </w:p>
        </w:tc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~1,000 KES / Month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SMS Usage</w:t>
            </w:r>
          </w:p>
        </w:tc>
        <w:tc>
          <w:tcPr>
            <w:tcW w:type="dxa" w:w="46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Pay-as-you-go event notifications where enabled.</w:t>
            </w:r>
          </w:p>
        </w:tc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~0.8 KES / SMS</w:t>
            </w:r>
          </w:p>
        </w:tc>
      </w:tr>
      <w:tr>
        <w:tc>
          <w:tcPr>
            <w:tcW w:type="dxa" w:w="25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TOTAL FIXED MONTHLY</w:t>
            </w:r>
          </w:p>
        </w:tc>
        <w:tc>
          <w:tcPr>
            <w:tcW w:type="dxa" w:w="46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Estimated base running cost before SMS usage.</w:t>
            </w:r>
          </w:p>
        </w:tc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~7,100 KES + SMS</w:t>
            </w:r>
          </w:p>
        </w:tc>
      </w:tr>
    </w:tbl>
    <w:p>
      <w:pPr>
        <w:spacing w:after="40"/>
      </w:pPr>
    </w:p>
    <w:p>
      <w:pPr>
        <w:pStyle w:val="Heading2"/>
      </w:pPr>
      <w:r>
        <w:t>D. Optional Enhancements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5060"/>
        <w:gridCol w:w="170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Enhancement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Description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7"/>
              </w:rPr>
              <w:t>Amount (KES)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M-Pesa Online Payments</w:t>
            </w:r>
          </w:p>
        </w:tc>
        <w:tc>
          <w:tcPr>
            <w:tcW w:type="dxa" w:w="5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STK Push/paybill confirmation for registration fees or vendor fees.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25,000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WhatsApp/SMS Automation</w:t>
            </w:r>
          </w:p>
        </w:tc>
        <w:tc>
          <w:tcPr>
            <w:tcW w:type="dxa" w:w="5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Automated registration status, fixture reminders, and result alerts.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18,000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Live Match Center</w:t>
            </w:r>
          </w:p>
        </w:tc>
        <w:tc>
          <w:tcPr>
            <w:tcW w:type="dxa" w:w="5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Near-real-time public match updates during active fixtures.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22,000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Player Profiles &amp; Advanced Stats</w:t>
            </w:r>
          </w:p>
        </w:tc>
        <w:tc>
          <w:tcPr>
            <w:tcW w:type="dxa" w:w="5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Player profile pages, goals, cards, appearances, and discipline-level leaderboards.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30,000</w:t>
            </w:r>
          </w:p>
        </w:tc>
      </w:tr>
      <w:tr>
        <w:tc>
          <w:tcPr>
            <w:tcW w:type="dxa" w:w="26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Sponsor Analytics</w:t>
            </w:r>
          </w:p>
        </w:tc>
        <w:tc>
          <w:tcPr>
            <w:tcW w:type="dxa" w:w="5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Sponsor placement reporting, click tracking, and branded campaign dashboards.</w:t>
            </w:r>
          </w:p>
        </w:tc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7"/>
              </w:rPr>
              <w:t>15,000</w:t>
            </w:r>
          </w:p>
        </w:tc>
      </w:tr>
    </w:tbl>
    <w:p>
      <w:pPr>
        <w:spacing w:after="40"/>
      </w:pPr>
    </w:p>
    <w:p>
      <w:pPr>
        <w:pStyle w:val="Heading1"/>
      </w:pPr>
      <w:r>
        <w:t>4. Terms &amp; Conditions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Term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Detail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Payment Schedule</w:t>
            </w:r>
          </w:p>
        </w:tc>
        <w:tc>
          <w:tcPr>
            <w:tcW w:type="dxa" w:w="7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40% mobilization fee on signing, 30% after beta delivery, 20% after UAT approval, and 10% before go-live.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Content Readiness</w:t>
            </w:r>
          </w:p>
        </w:tc>
        <w:tc>
          <w:tcPr>
            <w:tcW w:type="dxa" w:w="7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Client provides logo, brand colors where available, tournament dates, venues, registration rules, sponsor/partner details, posters, and final copy.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Technical Prerequisites</w:t>
            </w:r>
          </w:p>
        </w:tc>
        <w:tc>
          <w:tcPr>
            <w:tcW w:type="dxa" w:w="7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Client provides domain preference, hosting billing approval, administrator contacts, email account requirements, and any payment/SMS provider accounts needed.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Scope Management</w:t>
            </w:r>
          </w:p>
        </w:tc>
        <w:tc>
          <w:tcPr>
            <w:tcW w:type="dxa" w:w="7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Material changes after approval will be estimated separately before implementation.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Confidentiality &amp; Ownership</w:t>
            </w:r>
          </w:p>
        </w:tc>
        <w:tc>
          <w:tcPr>
            <w:tcW w:type="dxa" w:w="70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32323"/>
                <w:sz w:val="18"/>
              </w:rPr>
              <w:t>Upon full payment, East Africa Cup will own the custom website code and tournament data. Tekbots Solutions retains the right to reuse generic libraries, technical patterns, and non-confidential code structures.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B636E"/>
        <w:sz w:val="17"/>
      </w:rPr>
      <w:t>Tekbots Solutions | East Africa Cup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East Africa Cup Tournament Website Commercial Proposal</dc:title>
  <dc:subject/>
  <dc:creator>Tekbots Solutions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