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80"/>
        <w:jc w:val="center"/>
      </w:pPr>
      <w:r>
        <w:rPr>
          <w:rFonts w:ascii="Calibri" w:hAnsi="Calibri"/>
          <w:b/>
          <w:color w:val="0B2545"/>
          <w:sz w:val="48"/>
        </w:rPr>
        <w:t>Functional Specification</w:t>
      </w:r>
    </w:p>
    <w:p>
      <w:pPr>
        <w:spacing w:after="600"/>
        <w:jc w:val="center"/>
      </w:pPr>
      <w:r>
        <w:rPr>
          <w:rFonts w:ascii="Calibri" w:hAnsi="Calibri"/>
          <w:b/>
          <w:color w:val="5B636E"/>
          <w:sz w:val="28"/>
        </w:rPr>
        <w:t>East Africa Cup Tournament Website</w:t>
      </w:r>
    </w:p>
    <w:tbl>
      <w:tblPr>
        <w:tblW w:type="dxa" w:w="7200"/>
        <w:jc w:val="left"/>
        <w:tblLayout w:type="fixed"/>
        <w:tblLook w:firstColumn="1" w:firstRow="1" w:lastColumn="0" w:lastRow="0" w:noHBand="0" w:noVBand="1" w:val="04A0"/>
        <w:tblInd w:w="120" w:type="dxa"/>
      </w:tblPr>
      <w:tblGrid>
        <w:gridCol w:w="2200"/>
        <w:gridCol w:w="5000"/>
      </w:tblGrid>
      <w:tr>
        <w:tc>
          <w:tcPr>
            <w:tcW w:type="dxa" w:w="22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F4F6F9"/>
          </w:tcPr>
          <w:p>
            <w:pPr>
              <w:spacing w:after="0" w:line="264" w:lineRule="auto"/>
            </w:pPr>
            <w:r>
              <w:rPr>
                <w:rFonts w:ascii="Calibri" w:hAnsi="Calibri"/>
                <w:b/>
                <w:color w:val="0B2545"/>
                <w:sz w:val="21"/>
              </w:rPr>
              <w:t>Prepared For:</w:t>
            </w:r>
          </w:p>
        </w:tc>
        <w:tc>
          <w:tcPr>
            <w:tcW w:type="dxa" w:w="50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FFFFFF"/>
          </w:tcPr>
          <w:p>
            <w:pPr>
              <w:spacing w:after="0" w:line="264" w:lineRule="auto"/>
            </w:pPr>
            <w:r>
              <w:rPr>
                <w:rFonts w:ascii="Calibri" w:hAnsi="Calibri"/>
                <w:b w:val="0"/>
                <w:color w:val="282828"/>
                <w:sz w:val="21"/>
              </w:rPr>
              <w:t>East Africa Cup Organizing Committee</w:t>
            </w:r>
          </w:p>
        </w:tc>
      </w:tr>
      <w:tr>
        <w:tc>
          <w:tcPr>
            <w:tcW w:type="dxa" w:w="22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F4F6F9"/>
          </w:tcPr>
          <w:p>
            <w:pPr>
              <w:spacing w:after="0" w:line="264" w:lineRule="auto"/>
            </w:pPr>
            <w:r>
              <w:rPr>
                <w:rFonts w:ascii="Calibri" w:hAnsi="Calibri"/>
                <w:b/>
                <w:color w:val="0B2545"/>
                <w:sz w:val="21"/>
              </w:rPr>
              <w:t>Prepared By:</w:t>
            </w:r>
          </w:p>
        </w:tc>
        <w:tc>
          <w:tcPr>
            <w:tcW w:type="dxa" w:w="50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FFFFFF"/>
          </w:tcPr>
          <w:p>
            <w:pPr>
              <w:spacing w:after="0" w:line="264" w:lineRule="auto"/>
            </w:pPr>
            <w:r>
              <w:rPr>
                <w:rFonts w:ascii="Calibri" w:hAnsi="Calibri"/>
                <w:b w:val="0"/>
                <w:color w:val="282828"/>
                <w:sz w:val="21"/>
              </w:rPr>
              <w:t>Austin Kuka (Tekbots Solutions)</w:t>
            </w:r>
          </w:p>
        </w:tc>
      </w:tr>
      <w:tr>
        <w:tc>
          <w:tcPr>
            <w:tcW w:type="dxa" w:w="22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F4F6F9"/>
          </w:tcPr>
          <w:p>
            <w:pPr>
              <w:spacing w:after="0" w:line="264" w:lineRule="auto"/>
            </w:pPr>
            <w:r>
              <w:rPr>
                <w:rFonts w:ascii="Calibri" w:hAnsi="Calibri"/>
                <w:b/>
                <w:color w:val="0B2545"/>
                <w:sz w:val="21"/>
              </w:rPr>
              <w:t>Date:</w:t>
            </w:r>
          </w:p>
        </w:tc>
        <w:tc>
          <w:tcPr>
            <w:tcW w:type="dxa" w:w="50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FFFFFF"/>
          </w:tcPr>
          <w:p>
            <w:pPr>
              <w:spacing w:after="0" w:line="264" w:lineRule="auto"/>
            </w:pPr>
            <w:r>
              <w:rPr>
                <w:rFonts w:ascii="Calibri" w:hAnsi="Calibri"/>
                <w:b w:val="0"/>
                <w:color w:val="282828"/>
                <w:sz w:val="21"/>
              </w:rPr>
              <w:t>June 30, 2026</w:t>
            </w:r>
          </w:p>
        </w:tc>
      </w:tr>
      <w:tr>
        <w:tc>
          <w:tcPr>
            <w:tcW w:type="dxa" w:w="22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F4F6F9"/>
          </w:tcPr>
          <w:p>
            <w:pPr>
              <w:spacing w:after="0" w:line="264" w:lineRule="auto"/>
            </w:pPr>
            <w:r>
              <w:rPr>
                <w:rFonts w:ascii="Calibri" w:hAnsi="Calibri"/>
                <w:b/>
                <w:color w:val="0B2545"/>
                <w:sz w:val="21"/>
              </w:rPr>
              <w:t>Version:</w:t>
            </w:r>
          </w:p>
        </w:tc>
        <w:tc>
          <w:tcPr>
            <w:tcW w:type="dxa" w:w="50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FFFFFF"/>
          </w:tcPr>
          <w:p>
            <w:pPr>
              <w:spacing w:after="0" w:line="264" w:lineRule="auto"/>
            </w:pPr>
            <w:r>
              <w:rPr>
                <w:rFonts w:ascii="Calibri" w:hAnsi="Calibri"/>
                <w:b w:val="0"/>
                <w:color w:val="282828"/>
                <w:sz w:val="21"/>
              </w:rPr>
              <w:t>1.0 (Draft for Approval)</w:t>
            </w:r>
          </w:p>
        </w:tc>
      </w:tr>
    </w:tbl>
    <w:p>
      <w:pPr>
        <w:spacing w:before="3000" w:after="40"/>
        <w:jc w:val="center"/>
      </w:pPr>
      <w:r>
        <w:rPr>
          <w:rFonts w:ascii="Calibri" w:hAnsi="Calibri"/>
          <w:b/>
          <w:color w:val="1C7E62"/>
          <w:sz w:val="32"/>
        </w:rPr>
        <w:t>TEKBOTS SOLUTIONS</w:t>
      </w:r>
    </w:p>
    <w:p>
      <w:pPr>
        <w:spacing w:after="0"/>
        <w:jc w:val="center"/>
      </w:pPr>
      <w:r>
        <w:rPr>
          <w:rFonts w:ascii="Calibri" w:hAnsi="Calibri"/>
          <w:b/>
          <w:color w:val="B08420"/>
          <w:sz w:val="21"/>
        </w:rPr>
        <w:t>ANALYZE | DESIGN | BUILD</w:t>
      </w:r>
    </w:p>
    <w:p>
      <w:r>
        <w:br w:type="page"/>
      </w:r>
    </w:p>
    <w:p>
      <w:pPr>
        <w:pStyle w:val="Heading1"/>
      </w:pPr>
      <w:r>
        <w:t>1. Executive Summary</w:t>
      </w:r>
    </w:p>
    <w:p>
      <w:pPr>
        <w:spacing w:after="120"/>
      </w:pPr>
      <w:r>
        <w:t>The East Africa Cup Tournament Website is a digital platform designed to promote, register, manage, and publish information for a multi-discipline youth football tournament featuring academy teams from across East Africa. The platform will combine a modern public website with structured tournament operations tools for registrations, applications, fixtures, results, standings, match details, and player recognition records.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EAF6F1"/>
          </w:tcPr>
          <w:p>
            <w:pPr>
              <w:spacing w:after="60"/>
            </w:pPr>
            <w:r>
              <w:rPr>
                <w:rFonts w:ascii="Calibri" w:hAnsi="Calibri"/>
                <w:b/>
                <w:color w:val="0B2545"/>
                <w:sz w:val="21"/>
              </w:rPr>
              <w:t>Primary Objective</w:t>
            </w:r>
            <w:r>
              <w:br/>
            </w:r>
            <w:r>
              <w:rPr>
                <w:rFonts w:ascii="Calibri" w:hAnsi="Calibri"/>
                <w:color w:val="282828"/>
                <w:sz w:val="21"/>
              </w:rPr>
              <w:t>Create a professional, mobile-first tournament platform that helps the organizing team attract teams, sponsors, vendors, workers, and spectators while reducing manual administration before and during the tournament.</w:t>
            </w:r>
          </w:p>
        </w:tc>
      </w:tr>
    </w:tbl>
    <w:p>
      <w:pPr>
        <w:spacing w:after="40"/>
      </w:pPr>
    </w:p>
    <w:p>
      <w:pPr>
        <w:pStyle w:val="Heading1"/>
      </w:pPr>
      <w:r>
        <w:t>2. Website Pages &amp; Public Experience</w:t>
      </w:r>
    </w:p>
    <w:tbl>
      <w:tblPr>
        <w:tblW w:type="dxa" w:w="9360"/>
        <w:tblLayout w:type="fixed"/>
        <w:tblLook w:firstColumn="1" w:firstRow="1" w:lastColumn="0" w:lastRow="0" w:noHBand="0" w:noVBand="1" w:val="04A0"/>
        <w:jc w:val="left"/>
        <w:tblInd w:w="120" w:type="dxa"/>
      </w:tblPr>
      <w:tblGrid>
        <w:gridCol w:w="1700"/>
        <w:gridCol w:w="2600"/>
        <w:gridCol w:w="5060"/>
      </w:tblGrid>
      <w:tr>
        <w:tc>
          <w:tcPr>
            <w:tcW w:type="dxa" w:w="17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E8EEF5"/>
          </w:tcPr>
          <w:p>
            <w:pPr>
              <w:spacing w:after="0"/>
            </w:pPr>
            <w:r>
              <w:rPr>
                <w:rFonts w:ascii="Calibri" w:hAnsi="Calibri"/>
                <w:b/>
                <w:color w:val="0B2545"/>
                <w:sz w:val="18"/>
              </w:rPr>
              <w:t>Section</w:t>
            </w:r>
          </w:p>
        </w:tc>
        <w:tc>
          <w:tcPr>
            <w:tcW w:type="dxa" w:w="26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E8EEF5"/>
          </w:tcPr>
          <w:p>
            <w:pPr>
              <w:spacing w:after="0"/>
            </w:pPr>
            <w:r>
              <w:rPr>
                <w:rFonts w:ascii="Calibri" w:hAnsi="Calibri"/>
                <w:b/>
                <w:color w:val="0B2545"/>
                <w:sz w:val="18"/>
              </w:rPr>
              <w:t>Purpose</w:t>
            </w:r>
          </w:p>
        </w:tc>
        <w:tc>
          <w:tcPr>
            <w:tcW w:type="dxa" w:w="50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E8EEF5"/>
          </w:tcPr>
          <w:p>
            <w:pPr>
              <w:spacing w:after="0"/>
            </w:pPr>
            <w:r>
              <w:rPr>
                <w:rFonts w:ascii="Calibri" w:hAnsi="Calibri"/>
                <w:b/>
                <w:color w:val="0B2545"/>
                <w:sz w:val="18"/>
              </w:rPr>
              <w:t>Key Content</w:t>
            </w:r>
          </w:p>
        </w:tc>
      </w:tr>
      <w:tr>
        <w:tc>
          <w:tcPr>
            <w:tcW w:type="dxa" w:w="17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Home</w:t>
            </w:r>
          </w:p>
        </w:tc>
        <w:tc>
          <w:tcPr>
            <w:tcW w:type="dxa" w:w="26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Tournament landing page and conversion point.</w:t>
            </w:r>
          </w:p>
        </w:tc>
        <w:tc>
          <w:tcPr>
            <w:tcW w:type="dxa" w:w="50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Hero section, dates/venue placeholders, call-to-action buttons, sponsor highlights, news, and featured posters.</w:t>
            </w:r>
          </w:p>
        </w:tc>
      </w:tr>
      <w:tr>
        <w:tc>
          <w:tcPr>
            <w:tcW w:type="dxa" w:w="17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About Us</w:t>
            </w:r>
          </w:p>
        </w:tc>
        <w:tc>
          <w:tcPr>
            <w:tcW w:type="dxa" w:w="26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Tell the tournament story.</w:t>
            </w:r>
          </w:p>
        </w:tc>
        <w:tc>
          <w:tcPr>
            <w:tcW w:type="dxa" w:w="50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Mission, regional youth football focus, tournament values, discipline overview, organizing committee profile.</w:t>
            </w:r>
          </w:p>
        </w:tc>
      </w:tr>
      <w:tr>
        <w:tc>
          <w:tcPr>
            <w:tcW w:type="dxa" w:w="17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Partners</w:t>
            </w:r>
          </w:p>
        </w:tc>
        <w:tc>
          <w:tcPr>
            <w:tcW w:type="dxa" w:w="26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Show institutional and operational partners.</w:t>
            </w:r>
          </w:p>
        </w:tc>
        <w:tc>
          <w:tcPr>
            <w:tcW w:type="dxa" w:w="50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Partner logos, descriptions, partner categories, outbound links where approved.</w:t>
            </w:r>
          </w:p>
        </w:tc>
      </w:tr>
      <w:tr>
        <w:tc>
          <w:tcPr>
            <w:tcW w:type="dxa" w:w="17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Contacts</w:t>
            </w:r>
          </w:p>
        </w:tc>
        <w:tc>
          <w:tcPr>
            <w:tcW w:type="dxa" w:w="26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Route inquiries quickly.</w:t>
            </w:r>
          </w:p>
        </w:tc>
        <w:tc>
          <w:tcPr>
            <w:tcW w:type="dxa" w:w="50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Contact form, phone/email placeholders, map/location section, social media links.</w:t>
            </w:r>
          </w:p>
        </w:tc>
      </w:tr>
      <w:tr>
        <w:tc>
          <w:tcPr>
            <w:tcW w:type="dxa" w:w="17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Sponsors</w:t>
            </w:r>
          </w:p>
        </w:tc>
        <w:tc>
          <w:tcPr>
            <w:tcW w:type="dxa" w:w="26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Promote sponsor value.</w:t>
            </w:r>
          </w:p>
        </w:tc>
        <w:tc>
          <w:tcPr>
            <w:tcW w:type="dxa" w:w="50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Sponsor tiers, sponsor logos, brand placements, calls to sponsor the event.</w:t>
            </w:r>
          </w:p>
        </w:tc>
      </w:tr>
      <w:tr>
        <w:tc>
          <w:tcPr>
            <w:tcW w:type="dxa" w:w="17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East Africa Cup 1st Edition</w:t>
            </w:r>
          </w:p>
        </w:tc>
        <w:tc>
          <w:tcPr>
            <w:tcW w:type="dxa" w:w="26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Central event hub.</w:t>
            </w:r>
          </w:p>
        </w:tc>
        <w:tc>
          <w:tcPr>
            <w:tcW w:type="dxa" w:w="50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Registration, guidelines, registered teams, applications, branding opportunities, posters, fixtures, results, tables, and records.</w:t>
            </w:r>
          </w:p>
        </w:tc>
      </w:tr>
    </w:tbl>
    <w:p>
      <w:pPr>
        <w:spacing w:after="40"/>
      </w:pPr>
    </w:p>
    <w:p>
      <w:r>
        <w:br w:type="page"/>
      </w:r>
    </w:p>
    <w:p>
      <w:pPr>
        <w:pStyle w:val="Heading1"/>
      </w:pPr>
      <w:r>
        <w:t>3. East Africa Cup 1st Edition Modules</w:t>
      </w:r>
    </w:p>
    <w:tbl>
      <w:tblPr>
        <w:tblW w:type="dxa" w:w="9360"/>
        <w:tblLayout w:type="fixed"/>
        <w:tblLook w:firstColumn="1" w:firstRow="1" w:lastColumn="0" w:lastRow="0" w:noHBand="0" w:noVBand="1" w:val="04A0"/>
        <w:jc w:val="left"/>
        <w:tblInd w:w="120" w:type="dxa"/>
      </w:tblPr>
      <w:tblGrid>
        <w:gridCol w:w="2300"/>
        <w:gridCol w:w="7060"/>
      </w:tblGrid>
      <w:tr>
        <w:tc>
          <w:tcPr>
            <w:tcW w:type="dxa" w:w="23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E8EEF5"/>
          </w:tcPr>
          <w:p>
            <w:pPr>
              <w:spacing w:after="0"/>
            </w:pPr>
            <w:r>
              <w:rPr>
                <w:rFonts w:ascii="Calibri" w:hAnsi="Calibri"/>
                <w:b/>
                <w:color w:val="0B2545"/>
                <w:sz w:val="18"/>
              </w:rPr>
              <w:t>Module</w:t>
            </w:r>
          </w:p>
        </w:tc>
        <w:tc>
          <w:tcPr>
            <w:tcW w:type="dxa" w:w="70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E8EEF5"/>
          </w:tcPr>
          <w:p>
            <w:pPr>
              <w:spacing w:after="0"/>
            </w:pPr>
            <w:r>
              <w:rPr>
                <w:rFonts w:ascii="Calibri" w:hAnsi="Calibri"/>
                <w:b/>
                <w:color w:val="0B2545"/>
                <w:sz w:val="18"/>
              </w:rPr>
              <w:t>Functional Requirements</w:t>
            </w:r>
          </w:p>
        </w:tc>
      </w:tr>
      <w:tr>
        <w:tc>
          <w:tcPr>
            <w:tcW w:type="dxa" w:w="23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Team Registration</w:t>
            </w:r>
          </w:p>
        </w:tc>
        <w:tc>
          <w:tcPr>
            <w:tcW w:type="dxa" w:w="70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Academy representative submits academy details, discipline entered, coach/contact details, player roster, supporting documents, and optional payment/reference information. Admin can approve, reject, or request edits.</w:t>
            </w:r>
          </w:p>
        </w:tc>
      </w:tr>
      <w:tr>
        <w:tc>
          <w:tcPr>
            <w:tcW w:type="dxa" w:w="23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Registration Guidelines</w:t>
            </w:r>
          </w:p>
        </w:tc>
        <w:tc>
          <w:tcPr>
            <w:tcW w:type="dxa" w:w="70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Public page explaining eligibility, discipline limits, player documentation, deadline, conduct expectations, payment instructions, and organizer review process.</w:t>
            </w:r>
          </w:p>
        </w:tc>
      </w:tr>
      <w:tr>
        <w:tc>
          <w:tcPr>
            <w:tcW w:type="dxa" w:w="23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Registered Teams</w:t>
            </w:r>
          </w:p>
        </w:tc>
        <w:tc>
          <w:tcPr>
            <w:tcW w:type="dxa" w:w="70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Public directory of approved teams filtered by discipline, country, academy, and registration status where appropriate.</w:t>
            </w:r>
          </w:p>
        </w:tc>
      </w:tr>
      <w:tr>
        <w:tc>
          <w:tcPr>
            <w:tcW w:type="dxa" w:w="23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Work Applications</w:t>
            </w:r>
          </w:p>
        </w:tc>
        <w:tc>
          <w:tcPr>
            <w:tcW w:type="dxa" w:w="70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Application form for volunteers, referees, marshals, medical support, media crew, operations crew, and other event roles.</w:t>
            </w:r>
          </w:p>
        </w:tc>
      </w:tr>
      <w:tr>
        <w:tc>
          <w:tcPr>
            <w:tcW w:type="dxa" w:w="23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Vendor Applications</w:t>
            </w:r>
          </w:p>
        </w:tc>
        <w:tc>
          <w:tcPr>
            <w:tcW w:type="dxa" w:w="70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Form for food, beverage, merchandise, equipment, and service vendors, including product category, compliance details, and stall requirements.</w:t>
            </w:r>
          </w:p>
        </w:tc>
      </w:tr>
      <w:tr>
        <w:tc>
          <w:tcPr>
            <w:tcW w:type="dxa" w:w="23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Branding Opportunities</w:t>
            </w:r>
          </w:p>
        </w:tc>
        <w:tc>
          <w:tcPr>
            <w:tcW w:type="dxa" w:w="70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Inquiry page for field branding, banners, digital sponsor slots, kit partnerships, booths, and activation packages.</w:t>
            </w:r>
          </w:p>
        </w:tc>
      </w:tr>
      <w:tr>
        <w:tc>
          <w:tcPr>
            <w:tcW w:type="dxa" w:w="23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Posters &amp; Media</w:t>
            </w:r>
          </w:p>
        </w:tc>
        <w:tc>
          <w:tcPr>
            <w:tcW w:type="dxa" w:w="70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Poster gallery with downloadable event posters, social cards, and official announcements.</w:t>
            </w:r>
          </w:p>
        </w:tc>
      </w:tr>
    </w:tbl>
    <w:p>
      <w:pPr>
        <w:spacing w:after="40"/>
      </w:pPr>
    </w:p>
    <w:p>
      <w:pPr>
        <w:pStyle w:val="Heading1"/>
      </w:pPr>
      <w:r>
        <w:t>4. Disciplines &amp; Team Registration Limits</w:t>
      </w:r>
    </w:p>
    <w:tbl>
      <w:tblPr>
        <w:tblW w:type="dxa" w:w="9360"/>
        <w:tblLayout w:type="fixed"/>
        <w:tblLook w:firstColumn="1" w:firstRow="1" w:lastColumn="0" w:lastRow="0" w:noHBand="0" w:noVBand="1" w:val="04A0"/>
        <w:jc w:val="left"/>
        <w:tblInd w:w="120" w:type="dxa"/>
      </w:tblPr>
      <w:tblGrid>
        <w:gridCol w:w="1900"/>
        <w:gridCol w:w="2300"/>
        <w:gridCol w:w="5160"/>
      </w:tblGrid>
      <w:tr>
        <w:tc>
          <w:tcPr>
            <w:tcW w:type="dxa" w:w="19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FFF6DC"/>
          </w:tcPr>
          <w:p>
            <w:pPr>
              <w:spacing w:after="0"/>
            </w:pPr>
            <w:r>
              <w:rPr>
                <w:rFonts w:ascii="Calibri" w:hAnsi="Calibri"/>
                <w:b/>
                <w:color w:val="0B2545"/>
                <w:sz w:val="18"/>
              </w:rPr>
              <w:t>Discipline</w:t>
            </w:r>
          </w:p>
        </w:tc>
        <w:tc>
          <w:tcPr>
            <w:tcW w:type="dxa" w:w="23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FFF6DC"/>
          </w:tcPr>
          <w:p>
            <w:pPr>
              <w:spacing w:after="0"/>
            </w:pPr>
            <w:r>
              <w:rPr>
                <w:rFonts w:ascii="Calibri" w:hAnsi="Calibri"/>
                <w:b/>
                <w:color w:val="0B2545"/>
                <w:sz w:val="18"/>
              </w:rPr>
              <w:t>Maximum Players Per Team</w:t>
            </w:r>
          </w:p>
        </w:tc>
        <w:tc>
          <w:tcPr>
            <w:tcW w:type="dxa" w:w="51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FFF6DC"/>
          </w:tcPr>
          <w:p>
            <w:pPr>
              <w:spacing w:after="0"/>
            </w:pPr>
            <w:r>
              <w:rPr>
                <w:rFonts w:ascii="Calibri" w:hAnsi="Calibri"/>
                <w:b/>
                <w:color w:val="0B2545"/>
                <w:sz w:val="18"/>
              </w:rPr>
              <w:t>Registration Notes</w:t>
            </w:r>
          </w:p>
        </w:tc>
      </w:tr>
      <w:tr>
        <w:tc>
          <w:tcPr>
            <w:tcW w:type="dxa" w:w="19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Under 7</w:t>
            </w:r>
          </w:p>
        </w:tc>
        <w:tc>
          <w:tcPr>
            <w:tcW w:type="dxa" w:w="23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10 players</w:t>
            </w:r>
          </w:p>
        </w:tc>
        <w:tc>
          <w:tcPr>
            <w:tcW w:type="dxa" w:w="51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Designed for smaller squads and short-format youth fixtures.</w:t>
            </w:r>
          </w:p>
        </w:tc>
      </w:tr>
      <w:tr>
        <w:tc>
          <w:tcPr>
            <w:tcW w:type="dxa" w:w="19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Under 9</w:t>
            </w:r>
          </w:p>
        </w:tc>
        <w:tc>
          <w:tcPr>
            <w:tcW w:type="dxa" w:w="23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12 players</w:t>
            </w:r>
          </w:p>
        </w:tc>
        <w:tc>
          <w:tcPr>
            <w:tcW w:type="dxa" w:w="51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Academies submit player list and guardian/coach contact details.</w:t>
            </w:r>
          </w:p>
        </w:tc>
      </w:tr>
      <w:tr>
        <w:tc>
          <w:tcPr>
            <w:tcW w:type="dxa" w:w="19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Under 11</w:t>
            </w:r>
          </w:p>
        </w:tc>
        <w:tc>
          <w:tcPr>
            <w:tcW w:type="dxa" w:w="23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14 players</w:t>
            </w:r>
          </w:p>
        </w:tc>
        <w:tc>
          <w:tcPr>
            <w:tcW w:type="dxa" w:w="51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Roster validation required before acceptance into fixtures.</w:t>
            </w:r>
          </w:p>
        </w:tc>
      </w:tr>
      <w:tr>
        <w:tc>
          <w:tcPr>
            <w:tcW w:type="dxa" w:w="19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Under 13</w:t>
            </w:r>
          </w:p>
        </w:tc>
        <w:tc>
          <w:tcPr>
            <w:tcW w:type="dxa" w:w="23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16 players</w:t>
            </w:r>
          </w:p>
        </w:tc>
        <w:tc>
          <w:tcPr>
            <w:tcW w:type="dxa" w:w="51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Player documentation and age eligibility checks required.</w:t>
            </w:r>
          </w:p>
        </w:tc>
      </w:tr>
      <w:tr>
        <w:tc>
          <w:tcPr>
            <w:tcW w:type="dxa" w:w="19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Under 15</w:t>
            </w:r>
          </w:p>
        </w:tc>
        <w:tc>
          <w:tcPr>
            <w:tcW w:type="dxa" w:w="23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20 players</w:t>
            </w:r>
          </w:p>
        </w:tc>
        <w:tc>
          <w:tcPr>
            <w:tcW w:type="dxa" w:w="51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Full squad registration supported with technical bench details.</w:t>
            </w:r>
          </w:p>
        </w:tc>
      </w:tr>
      <w:tr>
        <w:tc>
          <w:tcPr>
            <w:tcW w:type="dxa" w:w="19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Under 17</w:t>
            </w:r>
          </w:p>
        </w:tc>
        <w:tc>
          <w:tcPr>
            <w:tcW w:type="dxa" w:w="23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20 players</w:t>
            </w:r>
          </w:p>
        </w:tc>
        <w:tc>
          <w:tcPr>
            <w:tcW w:type="dxa" w:w="51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Full squad registration supported with technical bench details.</w:t>
            </w:r>
          </w:p>
        </w:tc>
      </w:tr>
    </w:tbl>
    <w:p>
      <w:pPr>
        <w:spacing w:after="40"/>
      </w:pPr>
    </w:p>
    <w:p>
      <w:r>
        <w:br w:type="page"/>
      </w:r>
    </w:p>
    <w:p>
      <w:pPr>
        <w:pStyle w:val="Heading1"/>
      </w:pPr>
      <w:r>
        <w:t>5. Tournament Operations</w:t>
      </w:r>
    </w:p>
    <w:tbl>
      <w:tblPr>
        <w:tblW w:type="dxa" w:w="9360"/>
        <w:tblLayout w:type="fixed"/>
        <w:tblLook w:firstColumn="1" w:firstRow="1" w:lastColumn="0" w:lastRow="0" w:noHBand="0" w:noVBand="1" w:val="04A0"/>
        <w:jc w:val="left"/>
        <w:tblInd w:w="120" w:type="dxa"/>
      </w:tblPr>
      <w:tblGrid>
        <w:gridCol w:w="2100"/>
        <w:gridCol w:w="7260"/>
      </w:tblGrid>
      <w:tr>
        <w:tc>
          <w:tcPr>
            <w:tcW w:type="dxa" w:w="21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E8EEF5"/>
          </w:tcPr>
          <w:p>
            <w:pPr>
              <w:spacing w:after="0"/>
            </w:pPr>
            <w:r>
              <w:rPr>
                <w:rFonts w:ascii="Calibri" w:hAnsi="Calibri"/>
                <w:b/>
                <w:color w:val="0B2545"/>
                <w:sz w:val="18"/>
              </w:rPr>
              <w:t>Feature</w:t>
            </w:r>
          </w:p>
        </w:tc>
        <w:tc>
          <w:tcPr>
            <w:tcW w:type="dxa" w:w="72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E8EEF5"/>
          </w:tcPr>
          <w:p>
            <w:pPr>
              <w:spacing w:after="0"/>
            </w:pPr>
            <w:r>
              <w:rPr>
                <w:rFonts w:ascii="Calibri" w:hAnsi="Calibri"/>
                <w:b/>
                <w:color w:val="0B2545"/>
                <w:sz w:val="18"/>
              </w:rPr>
              <w:t>Operational Logic</w:t>
            </w:r>
          </w:p>
        </w:tc>
      </w:tr>
      <w:tr>
        <w:tc>
          <w:tcPr>
            <w:tcW w:type="dxa" w:w="21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Fixtures</w:t>
            </w:r>
          </w:p>
        </w:tc>
        <w:tc>
          <w:tcPr>
            <w:tcW w:type="dxa" w:w="72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Admin creates fixtures by discipline, group, venue, pitch, date, and kick-off time. Fixtures can be published or kept as draft.</w:t>
            </w:r>
          </w:p>
        </w:tc>
      </w:tr>
      <w:tr>
        <w:tc>
          <w:tcPr>
            <w:tcW w:type="dxa" w:w="21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Results</w:t>
            </w:r>
          </w:p>
        </w:tc>
        <w:tc>
          <w:tcPr>
            <w:tcW w:type="dxa" w:w="72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Authorized match officials or admins enter scores, walkovers, penalties, notes, and final confirmation status.</w:t>
            </w:r>
          </w:p>
        </w:tc>
      </w:tr>
      <w:tr>
        <w:tc>
          <w:tcPr>
            <w:tcW w:type="dxa" w:w="21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Tables</w:t>
            </w:r>
          </w:p>
        </w:tc>
        <w:tc>
          <w:tcPr>
            <w:tcW w:type="dxa" w:w="72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Standings display teams, matches played, wins, draws, losses, goals for, goals against, goal difference, points, and qualification status.</w:t>
            </w:r>
          </w:p>
        </w:tc>
      </w:tr>
      <w:tr>
        <w:tc>
          <w:tcPr>
            <w:tcW w:type="dxa" w:w="21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Match Details</w:t>
            </w:r>
          </w:p>
        </w:tc>
        <w:tc>
          <w:tcPr>
            <w:tcW w:type="dxa" w:w="72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Each match has a detail page for teams, venue, kickoff, scoreline, scorers, cards, match status, and match notes where available.</w:t>
            </w:r>
          </w:p>
        </w:tc>
      </w:tr>
      <w:tr>
        <w:tc>
          <w:tcPr>
            <w:tcW w:type="dxa" w:w="21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Player of the Tournament Records</w:t>
            </w:r>
          </w:p>
        </w:tc>
        <w:tc>
          <w:tcPr>
            <w:tcW w:type="dxa" w:w="72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Admin records award winners by discipline, year/edition, academy, player name, position, and summary note.</w:t>
            </w:r>
          </w:p>
        </w:tc>
      </w:tr>
    </w:tbl>
    <w:p>
      <w:pPr>
        <w:spacing w:after="40"/>
      </w:pPr>
    </w:p>
    <w:p>
      <w:pPr>
        <w:pStyle w:val="Heading1"/>
      </w:pPr>
      <w:r>
        <w:t>6. User Roles &amp; Access Control</w:t>
      </w:r>
    </w:p>
    <w:tbl>
      <w:tblPr>
        <w:tblW w:type="dxa" w:w="9360"/>
        <w:tblLayout w:type="fixed"/>
        <w:tblLook w:firstColumn="1" w:firstRow="1" w:lastColumn="0" w:lastRow="0" w:noHBand="0" w:noVBand="1" w:val="04A0"/>
        <w:jc w:val="left"/>
        <w:tblInd w:w="120" w:type="dxa"/>
      </w:tblPr>
      <w:tblGrid>
        <w:gridCol w:w="2200"/>
        <w:gridCol w:w="7160"/>
      </w:tblGrid>
      <w:tr>
        <w:tc>
          <w:tcPr>
            <w:tcW w:type="dxa" w:w="22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E8EEF5"/>
          </w:tcPr>
          <w:p>
            <w:pPr>
              <w:spacing w:after="0"/>
            </w:pPr>
            <w:r>
              <w:rPr>
                <w:rFonts w:ascii="Calibri" w:hAnsi="Calibri"/>
                <w:b/>
                <w:color w:val="0B2545"/>
                <w:sz w:val="18"/>
              </w:rPr>
              <w:t>Role</w:t>
            </w:r>
          </w:p>
        </w:tc>
        <w:tc>
          <w:tcPr>
            <w:tcW w:type="dxa" w:w="71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E8EEF5"/>
          </w:tcPr>
          <w:p>
            <w:pPr>
              <w:spacing w:after="0"/>
            </w:pPr>
            <w:r>
              <w:rPr>
                <w:rFonts w:ascii="Calibri" w:hAnsi="Calibri"/>
                <w:b/>
                <w:color w:val="0B2545"/>
                <w:sz w:val="18"/>
              </w:rPr>
              <w:t>Access Rights</w:t>
            </w:r>
          </w:p>
        </w:tc>
      </w:tr>
      <w:tr>
        <w:tc>
          <w:tcPr>
            <w:tcW w:type="dxa" w:w="22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Public Visitor</w:t>
            </w:r>
          </w:p>
        </w:tc>
        <w:tc>
          <w:tcPr>
            <w:tcW w:type="dxa" w:w="71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View tournament content, posters, sponsors, registered teams, fixtures, results, tables, and contact information.</w:t>
            </w:r>
          </w:p>
        </w:tc>
      </w:tr>
      <w:tr>
        <w:tc>
          <w:tcPr>
            <w:tcW w:type="dxa" w:w="22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Academy Representative</w:t>
            </w:r>
          </w:p>
        </w:tc>
        <w:tc>
          <w:tcPr>
            <w:tcW w:type="dxa" w:w="71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Submit team registrations and receive status updates. Optional login can be added if the committee wants self-service edits.</w:t>
            </w:r>
          </w:p>
        </w:tc>
      </w:tr>
      <w:tr>
        <w:tc>
          <w:tcPr>
            <w:tcW w:type="dxa" w:w="22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Event Admin</w:t>
            </w:r>
          </w:p>
        </w:tc>
        <w:tc>
          <w:tcPr>
            <w:tcW w:type="dxa" w:w="71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Manage content, review applications, approve teams, create fixtures, enter results, publish tables, and manage sponsor/partner information.</w:t>
            </w:r>
          </w:p>
        </w:tc>
      </w:tr>
      <w:tr>
        <w:tc>
          <w:tcPr>
            <w:tcW w:type="dxa" w:w="22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Match Official</w:t>
            </w:r>
          </w:p>
        </w:tc>
        <w:tc>
          <w:tcPr>
            <w:tcW w:type="dxa" w:w="71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Optional restricted access to submit or verify match results for assigned fixtures.</w:t>
            </w:r>
          </w:p>
        </w:tc>
      </w:tr>
      <w:tr>
        <w:tc>
          <w:tcPr>
            <w:tcW w:type="dxa" w:w="22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Content Editor</w:t>
            </w:r>
          </w:p>
        </w:tc>
        <w:tc>
          <w:tcPr>
            <w:tcW w:type="dxa" w:w="71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Update posters, announcements, static pages, and sponsor/partner listings without access to sensitive registration data.</w:t>
            </w:r>
          </w:p>
        </w:tc>
      </w:tr>
    </w:tbl>
    <w:p>
      <w:pPr>
        <w:spacing w:after="40"/>
      </w:pPr>
    </w:p>
    <w:p>
      <w:r>
        <w:br w:type="page"/>
      </w:r>
    </w:p>
    <w:p>
      <w:pPr>
        <w:pStyle w:val="Heading1"/>
      </w:pPr>
      <w:r>
        <w:t>7. Technical &amp; Design Expectations</w:t>
      </w:r>
    </w:p>
    <w:tbl>
      <w:tblPr>
        <w:tblW w:type="dxa" w:w="9360"/>
        <w:tblLayout w:type="fixed"/>
        <w:tblLook w:firstColumn="1" w:firstRow="1" w:lastColumn="0" w:lastRow="0" w:noHBand="0" w:noVBand="1" w:val="04A0"/>
        <w:jc w:val="left"/>
        <w:tblInd w:w="120" w:type="dxa"/>
      </w:tblPr>
      <w:tblGrid>
        <w:gridCol w:w="2200"/>
        <w:gridCol w:w="7160"/>
      </w:tblGrid>
      <w:tr>
        <w:tc>
          <w:tcPr>
            <w:tcW w:type="dxa" w:w="22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E8EEF5"/>
          </w:tcPr>
          <w:p>
            <w:pPr>
              <w:spacing w:after="0"/>
            </w:pPr>
            <w:r>
              <w:rPr>
                <w:rFonts w:ascii="Calibri" w:hAnsi="Calibri"/>
                <w:b/>
                <w:color w:val="0B2545"/>
                <w:sz w:val="18"/>
              </w:rPr>
              <w:t>Area</w:t>
            </w:r>
          </w:p>
        </w:tc>
        <w:tc>
          <w:tcPr>
            <w:tcW w:type="dxa" w:w="71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shd w:fill="E8EEF5"/>
          </w:tcPr>
          <w:p>
            <w:pPr>
              <w:spacing w:after="0"/>
            </w:pPr>
            <w:r>
              <w:rPr>
                <w:rFonts w:ascii="Calibri" w:hAnsi="Calibri"/>
                <w:b/>
                <w:color w:val="0B2545"/>
                <w:sz w:val="18"/>
              </w:rPr>
              <w:t>Requirement</w:t>
            </w:r>
          </w:p>
        </w:tc>
      </w:tr>
      <w:tr>
        <w:tc>
          <w:tcPr>
            <w:tcW w:type="dxa" w:w="22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Modern Frontend</w:t>
            </w:r>
          </w:p>
        </w:tc>
        <w:tc>
          <w:tcPr>
            <w:tcW w:type="dxa" w:w="71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Mobile-first responsive UI inspired by naicup.com but with a more modern East African tournament identity, fluid layouts, CSS grid/subgrid where appropriate, container queries, clamp-based spacing, scroll-driven enhancements where supported, and graceful fallbacks.</w:t>
            </w:r>
          </w:p>
        </w:tc>
      </w:tr>
      <w:tr>
        <w:tc>
          <w:tcPr>
            <w:tcW w:type="dxa" w:w="22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Admin CMS</w:t>
            </w:r>
          </w:p>
        </w:tc>
        <w:tc>
          <w:tcPr>
            <w:tcW w:type="dxa" w:w="71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Secure dashboard for pages, sponsors, partners, posters, registration reviews, applications, fixtures, results, tables, and awards.</w:t>
            </w:r>
          </w:p>
        </w:tc>
      </w:tr>
      <w:tr>
        <w:tc>
          <w:tcPr>
            <w:tcW w:type="dxa" w:w="22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Data Export</w:t>
            </w:r>
          </w:p>
        </w:tc>
        <w:tc>
          <w:tcPr>
            <w:tcW w:type="dxa" w:w="71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Export team registrations, application lists, vendors, and tournament data to Excel/CSV for offline operations.</w:t>
            </w:r>
          </w:p>
        </w:tc>
      </w:tr>
      <w:tr>
        <w:tc>
          <w:tcPr>
            <w:tcW w:type="dxa" w:w="22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Security</w:t>
            </w:r>
          </w:p>
        </w:tc>
        <w:tc>
          <w:tcPr>
            <w:tcW w:type="dxa" w:w="71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Role-based access, spam protection, form validation, audit-friendly records, secure file upload rules, and routine backups.</w:t>
            </w:r>
          </w:p>
        </w:tc>
      </w:tr>
      <w:tr>
        <w:tc>
          <w:tcPr>
            <w:tcW w:type="dxa" w:w="22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SEO &amp; Analytics</w:t>
            </w:r>
          </w:p>
        </w:tc>
        <w:tc>
          <w:tcPr>
            <w:tcW w:type="dxa" w:w="71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Search-friendly page structure, event metadata, social sharing images, analytics integration, and basic conversion tracking.</w:t>
            </w:r>
          </w:p>
        </w:tc>
      </w:tr>
      <w:tr>
        <w:tc>
          <w:tcPr>
            <w:tcW w:type="dxa" w:w="220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Performance</w:t>
            </w:r>
          </w:p>
        </w:tc>
        <w:tc>
          <w:tcPr>
            <w:tcW w:type="dxa" w:w="7160"/>
            <w:shd w:fill="FFFFFF"/>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tcBorders>
          </w:tcPr>
          <w:p>
            <w:pPr>
              <w:spacing w:after="0" w:line="259" w:lineRule="auto"/>
            </w:pPr>
            <w:r>
              <w:rPr>
                <w:rFonts w:ascii="Calibri" w:hAnsi="Calibri"/>
                <w:color w:val="232323"/>
                <w:sz w:val="18"/>
              </w:rPr>
              <w:t>Optimized images, caching, responsive media, and fast mobile loading for regional visitors on varied networks.</w:t>
            </w:r>
          </w:p>
        </w:tc>
      </w:tr>
    </w:tbl>
    <w:p>
      <w:pPr>
        <w:spacing w:after="40"/>
      </w:pPr>
    </w:p>
    <w:p>
      <w:pPr>
        <w:pStyle w:val="Heading1"/>
      </w:pPr>
      <w:r>
        <w:t>8. Approval Notes</w:t>
      </w:r>
    </w:p>
    <w:p>
      <w:pPr>
        <w:spacing w:after="120"/>
      </w:pPr>
      <w:r>
        <w:t>This specification defines the recommended MVP scope for pricing and approval. Final UI copy, registration deadlines, tournament dates, venues, sponsor tiers, payment instructions, and legal wording should be confirmed by the organizing committee before development begins.</w:t>
      </w:r>
    </w:p>
    <w:p>
      <w:pPr>
        <w:spacing w:after="120"/>
      </w:pPr>
      <w:r>
        <w:t>Optional enhancements such as online M-Pesa payments, WhatsApp automation, live match-center updates, QR-code accreditation, player profile pages, advanced statistics, and sponsor analytics can be priced separately or added in a later phase.</w:t>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B636E"/>
        <w:sz w:val="17"/>
      </w:rPr>
      <w:t>Tekbots Solutions | East Africa Cup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East Africa Cup Tournament Website Functional Specification</dc:title>
  <dc:subject/>
  <dc:creator>Tekbots Solutions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