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3956EF" w14:textId="0ED8F694" w:rsidR="00BE581B" w:rsidRPr="00BE581B" w:rsidRDefault="00BE581B" w:rsidP="00BE581B">
      <w:pPr>
        <w:rPr>
          <w:rFonts w:ascii="Times New Roman" w:eastAsia="Times New Roman" w:hAnsi="Times New Roman" w:cs="Times New Roman"/>
        </w:rPr>
      </w:pPr>
      <w:r w:rsidRPr="00BE581B">
        <w:rPr>
          <w:rFonts w:ascii="Arial" w:eastAsia="Times New Roman" w:hAnsi="Arial" w:cs="Arial"/>
          <w:b/>
          <w:bCs/>
          <w:color w:val="000000"/>
          <w:sz w:val="28"/>
          <w:szCs w:val="28"/>
        </w:rPr>
        <w:t xml:space="preserve">Date: </w:t>
      </w:r>
      <w:r>
        <w:rPr>
          <w:rFonts w:ascii="Arial" w:eastAsia="Times New Roman" w:hAnsi="Arial" w:cs="Arial"/>
          <w:b/>
          <w:bCs/>
          <w:color w:val="000000"/>
          <w:sz w:val="28"/>
          <w:szCs w:val="28"/>
        </w:rPr>
        <w:t>02</w:t>
      </w:r>
      <w:r w:rsidRPr="00BE581B">
        <w:rPr>
          <w:rFonts w:ascii="Arial" w:eastAsia="Times New Roman" w:hAnsi="Arial" w:cs="Arial"/>
          <w:b/>
          <w:bCs/>
          <w:color w:val="000000"/>
          <w:sz w:val="28"/>
          <w:szCs w:val="28"/>
        </w:rPr>
        <w:t>/</w:t>
      </w:r>
      <w:r>
        <w:rPr>
          <w:rFonts w:ascii="Arial" w:eastAsia="Times New Roman" w:hAnsi="Arial" w:cs="Arial"/>
          <w:b/>
          <w:bCs/>
          <w:color w:val="000000"/>
          <w:sz w:val="28"/>
          <w:szCs w:val="28"/>
        </w:rPr>
        <w:t>09</w:t>
      </w:r>
      <w:r w:rsidRPr="00BE581B">
        <w:rPr>
          <w:rFonts w:ascii="Arial" w:eastAsia="Times New Roman" w:hAnsi="Arial" w:cs="Arial"/>
          <w:b/>
          <w:bCs/>
          <w:color w:val="000000"/>
          <w:sz w:val="28"/>
          <w:szCs w:val="28"/>
        </w:rPr>
        <w:t>/2020</w:t>
      </w:r>
    </w:p>
    <w:p w14:paraId="0DC8D21D" w14:textId="77777777" w:rsidR="00BE581B" w:rsidRPr="00BE581B" w:rsidRDefault="00BE581B" w:rsidP="00BE581B">
      <w:pPr>
        <w:rPr>
          <w:rFonts w:ascii="Times New Roman" w:eastAsia="Times New Roman" w:hAnsi="Times New Roman" w:cs="Times New Roman"/>
        </w:rPr>
      </w:pPr>
    </w:p>
    <w:p w14:paraId="6C315A5B" w14:textId="392F35BD" w:rsidR="00BE581B" w:rsidRPr="00BE581B" w:rsidRDefault="00BE581B" w:rsidP="00BE581B">
      <w:pPr>
        <w:rPr>
          <w:rFonts w:ascii="Times New Roman" w:eastAsia="Times New Roman" w:hAnsi="Times New Roman" w:cs="Times New Roman"/>
        </w:rPr>
      </w:pPr>
      <w:r w:rsidRPr="00BE581B">
        <w:rPr>
          <w:rFonts w:ascii="Arial" w:eastAsia="Times New Roman" w:hAnsi="Arial" w:cs="Arial"/>
          <w:b/>
          <w:bCs/>
          <w:color w:val="000000"/>
          <w:sz w:val="28"/>
          <w:szCs w:val="28"/>
        </w:rPr>
        <w:t>Crip Chat Episode: 2</w:t>
      </w:r>
      <w:r>
        <w:rPr>
          <w:rFonts w:ascii="Arial" w:eastAsia="Times New Roman" w:hAnsi="Arial" w:cs="Arial"/>
          <w:b/>
          <w:bCs/>
          <w:color w:val="000000"/>
          <w:sz w:val="28"/>
          <w:szCs w:val="28"/>
        </w:rPr>
        <w:t>9</w:t>
      </w:r>
      <w:r w:rsidR="00A25D26">
        <w:rPr>
          <w:rFonts w:ascii="Arial" w:eastAsia="Times New Roman" w:hAnsi="Arial" w:cs="Arial"/>
          <w:b/>
          <w:bCs/>
          <w:color w:val="000000"/>
          <w:sz w:val="28"/>
          <w:szCs w:val="28"/>
        </w:rPr>
        <w:t xml:space="preserve"> </w:t>
      </w:r>
    </w:p>
    <w:p w14:paraId="3C643B43" w14:textId="2E115D84" w:rsidR="00BE581B" w:rsidRPr="00BE581B" w:rsidRDefault="00BE581B" w:rsidP="00BE581B">
      <w:pPr>
        <w:rPr>
          <w:rFonts w:ascii="Times New Roman" w:eastAsia="Times New Roman" w:hAnsi="Times New Roman" w:cs="Times New Roman"/>
        </w:rPr>
      </w:pPr>
      <w:r w:rsidRPr="00BE581B">
        <w:rPr>
          <w:rFonts w:ascii="Arial" w:eastAsia="Times New Roman" w:hAnsi="Arial" w:cs="Arial"/>
          <w:b/>
          <w:bCs/>
          <w:color w:val="000000"/>
          <w:sz w:val="28"/>
          <w:szCs w:val="28"/>
        </w:rPr>
        <w:t>Topi</w:t>
      </w:r>
      <w:r w:rsidR="00302463">
        <w:rPr>
          <w:rFonts w:ascii="Arial" w:eastAsia="Times New Roman" w:hAnsi="Arial" w:cs="Arial"/>
          <w:b/>
          <w:bCs/>
          <w:color w:val="000000"/>
          <w:sz w:val="28"/>
          <w:szCs w:val="28"/>
        </w:rPr>
        <w:t>c: Importance of giving young people a platform to have their voice heard</w:t>
      </w:r>
      <w:r w:rsidRPr="00BE581B">
        <w:rPr>
          <w:rFonts w:ascii="Arial" w:eastAsia="Times New Roman" w:hAnsi="Arial" w:cs="Arial"/>
          <w:b/>
          <w:bCs/>
          <w:color w:val="000000"/>
          <w:sz w:val="28"/>
          <w:szCs w:val="28"/>
        </w:rPr>
        <w:br/>
      </w:r>
      <w:r w:rsidRPr="00BE581B">
        <w:rPr>
          <w:rFonts w:ascii="Arial" w:eastAsia="Times New Roman" w:hAnsi="Arial" w:cs="Arial"/>
          <w:b/>
          <w:bCs/>
          <w:color w:val="000000"/>
          <w:sz w:val="28"/>
          <w:szCs w:val="28"/>
        </w:rPr>
        <w:br/>
        <w:t xml:space="preserve">Adapted from </w:t>
      </w:r>
      <w:r w:rsidR="00AE78E0">
        <w:rPr>
          <w:rFonts w:ascii="Arial" w:eastAsia="Times New Roman" w:hAnsi="Arial" w:cs="Arial"/>
          <w:b/>
          <w:bCs/>
          <w:color w:val="000000"/>
          <w:sz w:val="28"/>
          <w:szCs w:val="28"/>
        </w:rPr>
        <w:t>Helen Stokes, Malcolm Turnbull and Johanna Wyn</w:t>
      </w:r>
      <w:r w:rsidRPr="00BE581B">
        <w:rPr>
          <w:rFonts w:ascii="Arial" w:eastAsia="Times New Roman" w:hAnsi="Arial" w:cs="Arial"/>
          <w:b/>
          <w:bCs/>
          <w:color w:val="000000"/>
          <w:sz w:val="28"/>
          <w:szCs w:val="28"/>
        </w:rPr>
        <w:t>’</w:t>
      </w:r>
      <w:r w:rsidR="00AE78E0">
        <w:rPr>
          <w:rFonts w:ascii="Arial" w:eastAsia="Times New Roman" w:hAnsi="Arial" w:cs="Arial"/>
          <w:b/>
          <w:bCs/>
          <w:color w:val="000000"/>
          <w:sz w:val="28"/>
          <w:szCs w:val="28"/>
        </w:rPr>
        <w:t>s</w:t>
      </w:r>
      <w:r w:rsidRPr="00BE581B">
        <w:rPr>
          <w:rFonts w:ascii="Arial" w:eastAsia="Times New Roman" w:hAnsi="Arial" w:cs="Arial"/>
          <w:b/>
          <w:bCs/>
          <w:color w:val="000000"/>
          <w:sz w:val="28"/>
          <w:szCs w:val="28"/>
        </w:rPr>
        <w:t xml:space="preserve"> article (link in references)</w:t>
      </w:r>
    </w:p>
    <w:p w14:paraId="6C4249E3" w14:textId="77777777" w:rsidR="00BE581B" w:rsidRPr="00BE581B" w:rsidRDefault="00BE581B" w:rsidP="00BE581B">
      <w:pPr>
        <w:rPr>
          <w:rFonts w:ascii="Times New Roman" w:eastAsia="Times New Roman" w:hAnsi="Times New Roman" w:cs="Times New Roman"/>
        </w:rPr>
      </w:pPr>
    </w:p>
    <w:p w14:paraId="46196D6B" w14:textId="77777777" w:rsidR="00BE581B" w:rsidRPr="00BE581B" w:rsidRDefault="00BE581B" w:rsidP="00BE581B">
      <w:pPr>
        <w:rPr>
          <w:rFonts w:ascii="Times New Roman" w:eastAsia="Times New Roman" w:hAnsi="Times New Roman" w:cs="Times New Roman"/>
        </w:rPr>
      </w:pPr>
      <w:r w:rsidRPr="00BE581B">
        <w:rPr>
          <w:rFonts w:ascii="Arial" w:eastAsia="Times New Roman" w:hAnsi="Arial" w:cs="Arial"/>
          <w:b/>
          <w:bCs/>
          <w:color w:val="000000"/>
          <w:sz w:val="28"/>
          <w:szCs w:val="28"/>
        </w:rPr>
        <w:t>Key Points (4):</w:t>
      </w:r>
    </w:p>
    <w:p w14:paraId="6FFD2352" w14:textId="242BE2D0" w:rsidR="00BE581B" w:rsidRDefault="00AE78E0" w:rsidP="00BE581B">
      <w:pPr>
        <w:numPr>
          <w:ilvl w:val="0"/>
          <w:numId w:val="1"/>
        </w:numPr>
        <w:spacing w:after="80"/>
        <w:textAlignment w:val="baseline"/>
        <w:outlineLvl w:val="2"/>
        <w:rPr>
          <w:rFonts w:ascii="Arial" w:eastAsia="Times New Roman" w:hAnsi="Arial" w:cs="Arial"/>
          <w:b/>
          <w:bCs/>
          <w:color w:val="434343"/>
          <w:sz w:val="27"/>
          <w:szCs w:val="27"/>
        </w:rPr>
      </w:pPr>
      <w:r>
        <w:rPr>
          <w:rFonts w:ascii="Arial" w:eastAsia="Times New Roman" w:hAnsi="Arial" w:cs="Arial"/>
          <w:b/>
          <w:bCs/>
          <w:color w:val="434343"/>
          <w:sz w:val="27"/>
          <w:szCs w:val="27"/>
        </w:rPr>
        <w:t>Identity development</w:t>
      </w:r>
    </w:p>
    <w:p w14:paraId="42A91031" w14:textId="7DE08952" w:rsidR="00AE78E0" w:rsidRDefault="00AE78E0" w:rsidP="00BE581B">
      <w:pPr>
        <w:numPr>
          <w:ilvl w:val="0"/>
          <w:numId w:val="1"/>
        </w:numPr>
        <w:spacing w:after="80"/>
        <w:textAlignment w:val="baseline"/>
        <w:outlineLvl w:val="2"/>
        <w:rPr>
          <w:rFonts w:ascii="Arial" w:eastAsia="Times New Roman" w:hAnsi="Arial" w:cs="Arial"/>
          <w:b/>
          <w:bCs/>
          <w:color w:val="434343"/>
          <w:sz w:val="27"/>
          <w:szCs w:val="27"/>
        </w:rPr>
      </w:pPr>
      <w:r>
        <w:rPr>
          <w:rFonts w:ascii="Arial" w:eastAsia="Times New Roman" w:hAnsi="Arial" w:cs="Arial"/>
          <w:b/>
          <w:bCs/>
          <w:color w:val="434343"/>
          <w:sz w:val="27"/>
          <w:szCs w:val="27"/>
        </w:rPr>
        <w:t>Attitudes</w:t>
      </w:r>
    </w:p>
    <w:p w14:paraId="2A010AA6" w14:textId="27AAC147" w:rsidR="00AE78E0" w:rsidRPr="00BE581B" w:rsidRDefault="00AE78E0" w:rsidP="00BE581B">
      <w:pPr>
        <w:numPr>
          <w:ilvl w:val="0"/>
          <w:numId w:val="1"/>
        </w:numPr>
        <w:spacing w:after="80"/>
        <w:textAlignment w:val="baseline"/>
        <w:outlineLvl w:val="2"/>
        <w:rPr>
          <w:rFonts w:ascii="Arial" w:eastAsia="Times New Roman" w:hAnsi="Arial" w:cs="Arial"/>
          <w:b/>
          <w:bCs/>
          <w:color w:val="434343"/>
          <w:sz w:val="27"/>
          <w:szCs w:val="27"/>
        </w:rPr>
      </w:pPr>
      <w:r>
        <w:rPr>
          <w:rFonts w:ascii="Arial" w:eastAsia="Times New Roman" w:hAnsi="Arial" w:cs="Arial"/>
          <w:b/>
          <w:bCs/>
          <w:color w:val="434343"/>
          <w:sz w:val="27"/>
          <w:szCs w:val="27"/>
        </w:rPr>
        <w:t>Resource and Supports</w:t>
      </w:r>
    </w:p>
    <w:p w14:paraId="5D40F59A" w14:textId="77777777" w:rsidR="00BE581B" w:rsidRPr="00BE581B" w:rsidRDefault="00BE581B" w:rsidP="00BE581B">
      <w:pPr>
        <w:ind w:left="720"/>
        <w:rPr>
          <w:rFonts w:ascii="Times New Roman" w:eastAsia="Times New Roman" w:hAnsi="Times New Roman" w:cs="Times New Roman"/>
        </w:rPr>
      </w:pPr>
      <w:r w:rsidRPr="00BE581B">
        <w:rPr>
          <w:rFonts w:ascii="Arial" w:eastAsia="Times New Roman" w:hAnsi="Arial" w:cs="Arial"/>
          <w:color w:val="000000"/>
          <w:sz w:val="28"/>
          <w:szCs w:val="28"/>
        </w:rPr>
        <w:t> </w:t>
      </w:r>
    </w:p>
    <w:p w14:paraId="201AF5AE" w14:textId="77777777" w:rsidR="00BE581B" w:rsidRPr="00BE581B" w:rsidRDefault="00BE581B" w:rsidP="00BE581B">
      <w:pPr>
        <w:rPr>
          <w:rFonts w:ascii="Times New Roman" w:eastAsia="Times New Roman" w:hAnsi="Times New Roman" w:cs="Times New Roman"/>
        </w:rPr>
      </w:pPr>
      <w:r w:rsidRPr="00BE581B">
        <w:rPr>
          <w:rFonts w:ascii="Arial" w:eastAsia="Times New Roman" w:hAnsi="Arial" w:cs="Arial"/>
          <w:b/>
          <w:bCs/>
          <w:color w:val="000000"/>
          <w:sz w:val="28"/>
          <w:szCs w:val="28"/>
        </w:rPr>
        <w:t>Introduction (50 – 100 words)</w:t>
      </w:r>
    </w:p>
    <w:p w14:paraId="454FDACB" w14:textId="77777777" w:rsidR="00BE581B" w:rsidRPr="00BE581B" w:rsidRDefault="00BE581B" w:rsidP="00BE581B">
      <w:pPr>
        <w:rPr>
          <w:rFonts w:ascii="Times New Roman" w:eastAsia="Times New Roman" w:hAnsi="Times New Roman" w:cs="Times New Roman"/>
        </w:rPr>
      </w:pPr>
    </w:p>
    <w:p w14:paraId="23D185BF" w14:textId="318F205E" w:rsidR="00BE581B" w:rsidRDefault="00AE78E0" w:rsidP="00BE581B">
      <w:pPr>
        <w:rPr>
          <w:rFonts w:ascii="Arial" w:eastAsia="Times New Roman" w:hAnsi="Arial" w:cs="Arial"/>
          <w:color w:val="000000"/>
          <w:sz w:val="28"/>
          <w:szCs w:val="28"/>
        </w:rPr>
      </w:pPr>
      <w:r>
        <w:rPr>
          <w:rFonts w:ascii="Arial" w:eastAsia="Times New Roman" w:hAnsi="Arial" w:cs="Arial"/>
          <w:color w:val="000000"/>
          <w:sz w:val="28"/>
          <w:szCs w:val="28"/>
        </w:rPr>
        <w:t>Young people with disability these days are facing issues with independence, having a voice, identity and society in general.</w:t>
      </w:r>
    </w:p>
    <w:p w14:paraId="5AD9953B" w14:textId="6401DDB7" w:rsidR="00725989" w:rsidRPr="00725989" w:rsidRDefault="00725989" w:rsidP="00BE581B">
      <w:pPr>
        <w:rPr>
          <w:rFonts w:ascii="Arial" w:eastAsia="Times New Roman" w:hAnsi="Arial" w:cs="Arial"/>
          <w:sz w:val="28"/>
          <w:szCs w:val="28"/>
        </w:rPr>
      </w:pPr>
      <w:r w:rsidRPr="00725989">
        <w:rPr>
          <w:rFonts w:ascii="Arial" w:eastAsia="Times New Roman" w:hAnsi="Arial" w:cs="Arial"/>
          <w:sz w:val="28"/>
          <w:szCs w:val="28"/>
        </w:rPr>
        <w:t>For young people, at an individual level, the personal management of uncertainty and risk is experienced as a pressure to make choices in a context where traditional certainties and institutional supports are disappearing. The widespread use of the idea of choice with reference to young people (for example, the idea of ‘choice biographies’) is sometimes understood as meaning that young people are free to make choices. As Woodman (2009) points out, the reality is the other way round. Young people are compelled to make decisions about things in which they have relatively little choice</w:t>
      </w:r>
    </w:p>
    <w:p w14:paraId="3804AC8E" w14:textId="22EC0C09" w:rsidR="00BE581B" w:rsidRDefault="00725989" w:rsidP="00BE581B">
      <w:pPr>
        <w:spacing w:before="280" w:after="80"/>
        <w:outlineLvl w:val="2"/>
        <w:rPr>
          <w:rFonts w:ascii="Arial" w:eastAsia="Times New Roman" w:hAnsi="Arial" w:cs="Arial"/>
          <w:b/>
          <w:bCs/>
          <w:color w:val="000000"/>
          <w:sz w:val="26"/>
          <w:szCs w:val="26"/>
        </w:rPr>
      </w:pPr>
      <w:r>
        <w:rPr>
          <w:rFonts w:ascii="Arial" w:eastAsia="Times New Roman" w:hAnsi="Arial" w:cs="Arial"/>
          <w:b/>
          <w:bCs/>
          <w:color w:val="000000"/>
          <w:sz w:val="26"/>
          <w:szCs w:val="26"/>
        </w:rPr>
        <w:t>Identity development</w:t>
      </w:r>
    </w:p>
    <w:p w14:paraId="5496885D" w14:textId="3D4E37EF" w:rsidR="00725989" w:rsidRPr="00725989" w:rsidRDefault="00725989" w:rsidP="00BE581B">
      <w:pPr>
        <w:spacing w:before="280" w:after="80"/>
        <w:outlineLvl w:val="2"/>
        <w:rPr>
          <w:rFonts w:ascii="Arial" w:eastAsia="Times New Roman" w:hAnsi="Arial" w:cs="Arial"/>
          <w:sz w:val="28"/>
          <w:szCs w:val="28"/>
        </w:rPr>
      </w:pPr>
      <w:r>
        <w:rPr>
          <w:rFonts w:ascii="Arial" w:eastAsia="Times New Roman" w:hAnsi="Arial" w:cs="Arial"/>
          <w:sz w:val="28"/>
          <w:szCs w:val="28"/>
        </w:rPr>
        <w:t>Y</w:t>
      </w:r>
      <w:r w:rsidRPr="00725989">
        <w:rPr>
          <w:rFonts w:ascii="Arial" w:eastAsia="Times New Roman" w:hAnsi="Arial" w:cs="Arial"/>
          <w:sz w:val="28"/>
          <w:szCs w:val="28"/>
        </w:rPr>
        <w:t>oung people have left the dependency of childhood and adolescence but have not yet undertaken the enduring responsibilities of adulthood that then allows young people to ‘explore a variety of possible life directions in love, work and world views’</w:t>
      </w:r>
    </w:p>
    <w:p w14:paraId="6D8A45D2" w14:textId="5FE85066" w:rsidR="00BE581B" w:rsidRDefault="00BE581B" w:rsidP="00725989">
      <w:pPr>
        <w:spacing w:before="280" w:after="80"/>
        <w:outlineLvl w:val="2"/>
        <w:rPr>
          <w:rFonts w:ascii="Arial" w:eastAsia="Times New Roman" w:hAnsi="Arial" w:cs="Arial"/>
          <w:b/>
          <w:bCs/>
          <w:color w:val="000000"/>
          <w:sz w:val="26"/>
          <w:szCs w:val="26"/>
        </w:rPr>
      </w:pPr>
      <w:r w:rsidRPr="00BE581B">
        <w:rPr>
          <w:rFonts w:ascii="Arial" w:eastAsia="Times New Roman" w:hAnsi="Arial" w:cs="Arial"/>
          <w:color w:val="000000"/>
          <w:sz w:val="28"/>
          <w:szCs w:val="28"/>
        </w:rPr>
        <w:br/>
      </w:r>
      <w:r w:rsidR="00725989">
        <w:rPr>
          <w:rFonts w:ascii="Arial" w:eastAsia="Times New Roman" w:hAnsi="Arial" w:cs="Arial"/>
          <w:b/>
          <w:bCs/>
          <w:color w:val="000000"/>
          <w:sz w:val="26"/>
          <w:szCs w:val="26"/>
        </w:rPr>
        <w:t>Attitudes</w:t>
      </w:r>
    </w:p>
    <w:p w14:paraId="2400B06D" w14:textId="003C59BF" w:rsidR="00725989" w:rsidRPr="00725989" w:rsidRDefault="00725989" w:rsidP="00725989">
      <w:pPr>
        <w:spacing w:before="280" w:after="80"/>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Family attitudes and community attitudes towards independence and sexuality</w:t>
      </w:r>
    </w:p>
    <w:p w14:paraId="25C396A8" w14:textId="1E0B16D7" w:rsidR="00BE581B" w:rsidRPr="00BE581B" w:rsidRDefault="00725989" w:rsidP="00BE581B">
      <w:pPr>
        <w:rPr>
          <w:rFonts w:ascii="Times New Roman" w:eastAsia="Times New Roman" w:hAnsi="Times New Roman" w:cs="Times New Roman"/>
        </w:rPr>
      </w:pPr>
      <w:r>
        <w:rPr>
          <w:rFonts w:ascii="Times New Roman" w:eastAsia="Times New Roman" w:hAnsi="Times New Roman" w:cs="Times New Roman"/>
        </w:rPr>
        <w:t>School attitude and attitudes in the workplace</w:t>
      </w:r>
    </w:p>
    <w:p w14:paraId="43C4B131" w14:textId="59297827" w:rsidR="00BE581B" w:rsidRDefault="00395617" w:rsidP="00BE581B">
      <w:pPr>
        <w:spacing w:after="240"/>
        <w:rPr>
          <w:rFonts w:ascii="Arial" w:eastAsia="Times New Roman" w:hAnsi="Arial" w:cs="Arial"/>
          <w:b/>
          <w:bCs/>
          <w:color w:val="000000"/>
          <w:sz w:val="26"/>
          <w:szCs w:val="26"/>
        </w:rPr>
      </w:pPr>
      <w:r>
        <w:rPr>
          <w:rFonts w:ascii="Arial" w:eastAsia="Times New Roman" w:hAnsi="Arial" w:cs="Arial"/>
          <w:b/>
          <w:bCs/>
          <w:color w:val="000000"/>
          <w:sz w:val="26"/>
          <w:szCs w:val="26"/>
        </w:rPr>
        <w:lastRenderedPageBreak/>
        <w:t>Resource and Supports</w:t>
      </w:r>
    </w:p>
    <w:p w14:paraId="26F349EF" w14:textId="7F14DE41" w:rsidR="00395617" w:rsidRPr="00BE581B" w:rsidRDefault="00395617" w:rsidP="00BE581B">
      <w:pPr>
        <w:spacing w:after="240"/>
        <w:rPr>
          <w:rFonts w:ascii="Times New Roman" w:eastAsia="Times New Roman" w:hAnsi="Times New Roman" w:cs="Times New Roman"/>
        </w:rPr>
      </w:pPr>
      <w:r>
        <w:rPr>
          <w:rFonts w:ascii="Arial" w:eastAsia="Times New Roman" w:hAnsi="Arial" w:cs="Arial"/>
          <w:b/>
          <w:bCs/>
          <w:color w:val="000000"/>
          <w:sz w:val="26"/>
          <w:szCs w:val="26"/>
        </w:rPr>
        <w:t xml:space="preserve">Peer groups, community resources, </w:t>
      </w:r>
      <w:proofErr w:type="spellStart"/>
      <w:r>
        <w:rPr>
          <w:rFonts w:ascii="Arial" w:eastAsia="Times New Roman" w:hAnsi="Arial" w:cs="Arial"/>
          <w:b/>
          <w:bCs/>
          <w:color w:val="000000"/>
          <w:sz w:val="26"/>
          <w:szCs w:val="26"/>
        </w:rPr>
        <w:t>etc</w:t>
      </w:r>
      <w:proofErr w:type="spellEnd"/>
    </w:p>
    <w:p w14:paraId="6BCE750C" w14:textId="77777777" w:rsidR="00BE581B" w:rsidRPr="00BE581B" w:rsidRDefault="00BE581B" w:rsidP="00BE581B">
      <w:pPr>
        <w:rPr>
          <w:rFonts w:ascii="Times New Roman" w:eastAsia="Times New Roman" w:hAnsi="Times New Roman" w:cs="Times New Roman"/>
        </w:rPr>
      </w:pPr>
      <w:r w:rsidRPr="00BE581B">
        <w:rPr>
          <w:rFonts w:ascii="Arial" w:eastAsia="Times New Roman" w:hAnsi="Arial" w:cs="Arial"/>
          <w:b/>
          <w:bCs/>
          <w:color w:val="000000"/>
          <w:sz w:val="28"/>
          <w:szCs w:val="28"/>
        </w:rPr>
        <w:t> </w:t>
      </w:r>
    </w:p>
    <w:p w14:paraId="6A6D3BCD" w14:textId="77777777" w:rsidR="00BE581B" w:rsidRPr="00BE581B" w:rsidRDefault="00BE581B" w:rsidP="00BE581B">
      <w:pPr>
        <w:rPr>
          <w:rFonts w:ascii="Times New Roman" w:eastAsia="Times New Roman" w:hAnsi="Times New Roman" w:cs="Times New Roman"/>
        </w:rPr>
      </w:pPr>
      <w:r w:rsidRPr="00BE581B">
        <w:rPr>
          <w:rFonts w:ascii="Arial" w:eastAsia="Times New Roman" w:hAnsi="Arial" w:cs="Arial"/>
          <w:b/>
          <w:bCs/>
          <w:color w:val="000000"/>
          <w:sz w:val="28"/>
          <w:szCs w:val="28"/>
        </w:rPr>
        <w:t>Summary (50 – 100 words)</w:t>
      </w:r>
    </w:p>
    <w:p w14:paraId="5B7C8EF4" w14:textId="6528027E" w:rsidR="00BE581B" w:rsidRPr="00BE581B" w:rsidRDefault="00395617" w:rsidP="00BE581B">
      <w:pPr>
        <w:spacing w:after="240"/>
        <w:rPr>
          <w:rFonts w:ascii="Times New Roman" w:eastAsia="Times New Roman" w:hAnsi="Times New Roman" w:cs="Times New Roman"/>
        </w:rPr>
      </w:pPr>
      <w:r>
        <w:rPr>
          <w:rFonts w:ascii="Arial" w:eastAsia="Times New Roman" w:hAnsi="Arial" w:cs="Arial"/>
          <w:b/>
          <w:bCs/>
          <w:color w:val="000000"/>
          <w:sz w:val="26"/>
          <w:szCs w:val="26"/>
        </w:rPr>
        <w:t>Young people with disability should be taught at a young age the life skills needed for them to have when they transition into adulthood</w:t>
      </w:r>
      <w:r w:rsidR="00BE581B" w:rsidRPr="00BE581B">
        <w:rPr>
          <w:rFonts w:ascii="Times New Roman" w:eastAsia="Times New Roman" w:hAnsi="Times New Roman" w:cs="Times New Roman"/>
        </w:rPr>
        <w:br/>
      </w:r>
    </w:p>
    <w:p w14:paraId="54851502" w14:textId="77777777" w:rsidR="00BE581B" w:rsidRPr="00BE581B" w:rsidRDefault="00BE581B" w:rsidP="00BE581B">
      <w:pPr>
        <w:rPr>
          <w:rFonts w:ascii="Times New Roman" w:eastAsia="Times New Roman" w:hAnsi="Times New Roman" w:cs="Times New Roman"/>
        </w:rPr>
      </w:pPr>
      <w:r w:rsidRPr="00BE581B">
        <w:rPr>
          <w:rFonts w:ascii="Arial" w:eastAsia="Times New Roman" w:hAnsi="Arial" w:cs="Arial"/>
          <w:b/>
          <w:bCs/>
          <w:color w:val="000000"/>
          <w:sz w:val="28"/>
          <w:szCs w:val="28"/>
        </w:rPr>
        <w:t> </w:t>
      </w:r>
    </w:p>
    <w:p w14:paraId="6EC86E77" w14:textId="16C3D155" w:rsidR="007F063D" w:rsidRDefault="00BE581B" w:rsidP="00AE78E0">
      <w:r w:rsidRPr="00BE581B">
        <w:rPr>
          <w:rFonts w:ascii="Arial" w:eastAsia="Times New Roman" w:hAnsi="Arial" w:cs="Arial"/>
          <w:b/>
          <w:bCs/>
          <w:color w:val="000000"/>
          <w:sz w:val="28"/>
          <w:szCs w:val="28"/>
        </w:rPr>
        <w:t>References:</w:t>
      </w:r>
      <w:r w:rsidRPr="00BE581B">
        <w:rPr>
          <w:rFonts w:ascii="Arial" w:eastAsia="Times New Roman" w:hAnsi="Arial" w:cs="Arial"/>
          <w:b/>
          <w:bCs/>
          <w:color w:val="000000"/>
          <w:sz w:val="28"/>
          <w:szCs w:val="28"/>
        </w:rPr>
        <w:br/>
      </w:r>
      <w:r w:rsidRPr="00BE581B">
        <w:rPr>
          <w:rFonts w:ascii="Arial" w:eastAsia="Times New Roman" w:hAnsi="Arial" w:cs="Arial"/>
          <w:b/>
          <w:bCs/>
          <w:color w:val="000000"/>
          <w:sz w:val="28"/>
          <w:szCs w:val="28"/>
        </w:rPr>
        <w:br/>
      </w:r>
      <w:hyperlink r:id="rId5" w:history="1">
        <w:r w:rsidR="00AE78E0" w:rsidRPr="003F201D">
          <w:rPr>
            <w:rStyle w:val="Hyperlink"/>
          </w:rPr>
          <w:t>http://web.education.unimelb.edu.au/yrc/linked_documents/research_report39.pdf</w:t>
        </w:r>
      </w:hyperlink>
    </w:p>
    <w:sectPr w:rsidR="007F06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B61B21"/>
    <w:multiLevelType w:val="multilevel"/>
    <w:tmpl w:val="F6B4F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81B"/>
    <w:rsid w:val="001E6E12"/>
    <w:rsid w:val="00302463"/>
    <w:rsid w:val="00395617"/>
    <w:rsid w:val="00725989"/>
    <w:rsid w:val="00A25D26"/>
    <w:rsid w:val="00A81D4A"/>
    <w:rsid w:val="00AE78E0"/>
    <w:rsid w:val="00BE581B"/>
    <w:rsid w:val="00D542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BA2ED"/>
  <w15:chartTrackingRefBased/>
  <w15:docId w15:val="{0C21B643-0976-4CFF-9193-6FC7659588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6E12"/>
  </w:style>
  <w:style w:type="paragraph" w:styleId="Heading3">
    <w:name w:val="heading 3"/>
    <w:basedOn w:val="Normal"/>
    <w:link w:val="Heading3Char"/>
    <w:uiPriority w:val="9"/>
    <w:qFormat/>
    <w:rsid w:val="00BE581B"/>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E581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E581B"/>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BE581B"/>
    <w:rPr>
      <w:color w:val="0000FF"/>
      <w:u w:val="single"/>
    </w:rPr>
  </w:style>
  <w:style w:type="character" w:styleId="UnresolvedMention">
    <w:name w:val="Unresolved Mention"/>
    <w:basedOn w:val="DefaultParagraphFont"/>
    <w:uiPriority w:val="99"/>
    <w:semiHidden/>
    <w:unhideWhenUsed/>
    <w:rsid w:val="00AE78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7025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eb.education.unimelb.edu.au/yrc/linked_documents/research_report39.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275</Words>
  <Characters>1573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Abrahim Darouiche</dc:creator>
  <cp:keywords/>
  <dc:description/>
  <cp:lastModifiedBy>Abrahim Darouiche</cp:lastModifiedBy>
  <cp:revision>2</cp:revision>
  <dcterms:created xsi:type="dcterms:W3CDTF">2020-10-03T08:46:00Z</dcterms:created>
  <dcterms:modified xsi:type="dcterms:W3CDTF">2020-10-03T08:46:00Z</dcterms:modified>
</cp:coreProperties>
</file>