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1A2E4A"/>
          <w:sz w:val="80"/>
          <w:szCs w:val="80"/>
        </w:rPr>
        <w:t xml:space="preserve">FinFlow</w:t>
      </w:r>
    </w:p>
    <w:p>
      <w:pPr>
        <w:spacing w:before="120" w:after="0"/>
        <w:jc w:val="center"/>
      </w:pPr>
      <w:r>
        <w:rPr>
          <w:rFonts w:ascii="Arial" w:cs="Arial" w:eastAsia="Arial" w:hAnsi="Arial"/>
          <w:i/>
          <w:iCs/>
          <w:color w:val="0D7377"/>
          <w:sz w:val="36"/>
          <w:szCs w:val="36"/>
        </w:rPr>
        <w:t xml:space="preserve">Family Finance OS</w:t>
      </w:r>
    </w:p>
    <w:p>
      <w:pPr>
        <w:spacing w:before="80" w:after="80"/>
        <w:jc w:val="left"/>
      </w:pPr>
      <w:r>
        <w:rPr>
          <w:rFonts w:ascii="Arial" w:cs="Arial" w:eastAsia="Arial" w:hAnsi="Arial"/>
          <w:b w:val="false"/>
          <w:bCs w:val="false"/>
          <w:i w:val="false"/>
          <w:iCs w:val="false"/>
          <w:color w:val="0E0E12"/>
          <w:sz w:val="22"/>
          <w:szCs w:val="22"/>
        </w:rPr>
        <w:t xml:space="preserve"/>
      </w:r>
    </w:p>
    <w:p>
      <w:pPr>
        <w:spacing w:before="80" w:after="0"/>
        <w:jc w:val="center"/>
      </w:pPr>
      <w:r>
        <w:rPr>
          <w:rFonts w:ascii="Arial" w:cs="Arial" w:eastAsia="Arial" w:hAnsi="Arial"/>
          <w:b/>
          <w:bCs/>
          <w:color w:val="C9943A"/>
          <w:spacing w:val="60"/>
          <w:sz w:val="20"/>
          <w:szCs w:val="20"/>
        </w:rPr>
        <w:t xml:space="preserve">REVISED BUSINESS PLAN · VERSION 2.0</w:t>
      </w:r>
    </w:p>
    <w:p>
      <w:pPr>
        <w:spacing w:before="60" w:after="0"/>
        <w:jc w:val="center"/>
      </w:pPr>
      <w:r>
        <w:rPr>
          <w:rFonts w:ascii="Arial" w:cs="Arial" w:eastAsia="Arial" w:hAnsi="Arial"/>
          <w:i/>
          <w:iCs/>
          <w:color w:val="4A5568"/>
          <w:sz w:val="20"/>
          <w:szCs w:val="20"/>
        </w:rPr>
        <w:t xml:space="preserve">Responding to Investor Feedback · Streamlined for Execution</w:t>
      </w:r>
    </w:p>
    <w:p>
      <w:pPr>
        <w:spacing w:before="80" w:after="80"/>
        <w:jc w:val="left"/>
      </w:pPr>
      <w:r>
        <w:rPr>
          <w:rFonts w:ascii="Arial" w:cs="Arial" w:eastAsia="Arial" w:hAnsi="Arial"/>
          <w:b w:val="false"/>
          <w:bCs w:val="false"/>
          <w:i w:val="false"/>
          <w:iCs w:val="false"/>
          <w:color w:val="0E0E12"/>
          <w:sz w:val="22"/>
          <w:szCs w:val="22"/>
        </w:rPr>
        <w:t xml:space="preserve"/>
      </w:r>
    </w:p>
    <w:p>
      <w:pPr>
        <w:spacing w:before="80" w:after="80"/>
        <w:jc w:val="left"/>
      </w:pPr>
      <w:r>
        <w:rPr>
          <w:rFonts w:ascii="Arial" w:cs="Arial" w:eastAsia="Arial" w:hAnsi="Arial"/>
          <w:b w:val="false"/>
          <w:bCs w:val="false"/>
          <w:i w:val="false"/>
          <w:iCs w:val="false"/>
          <w:color w:val="0E0E1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single" w:color="0D7377" w:sz="2"/>
            </w:tcBorders>
            <w:shd w:fill="1A2E4A" w:val="clear"/>
            <w:tcMar>
              <w:top w:type="dxa" w:w="200"/>
              <w:left w:type="dxa" w:w="200"/>
              <w:bottom w:type="dxa" w:w="200"/>
              <w:right w:type="dxa" w:w="200"/>
            </w:tcMar>
          </w:tcPr>
          <w:p>
            <w:pPr>
              <w:jc w:val="center"/>
            </w:pPr>
            <w:r>
              <w:rPr>
                <w:rFonts w:ascii="Arial" w:cs="Arial" w:eastAsia="Arial" w:hAnsi="Arial"/>
                <w:b/>
                <w:bCs/>
                <w:color w:val="C9943A"/>
                <w:sz w:val="48"/>
                <w:szCs w:val="48"/>
              </w:rPr>
              <w:t xml:space="preserve">£750K</w:t>
            </w:r>
          </w:p>
          <w:p>
            <w:pPr>
              <w:jc w:val="center"/>
            </w:pPr>
            <w:r>
              <w:rPr>
                <w:rFonts w:ascii="Arial" w:cs="Arial" w:eastAsia="Arial" w:hAnsi="Arial"/>
                <w:color w:val="FFFFFF"/>
                <w:sz w:val="19"/>
                <w:szCs w:val="19"/>
              </w:rPr>
              <w:t xml:space="preserve">Pre-Seed Ask</w:t>
            </w:r>
          </w:p>
        </w:tc>
        <w:tc>
          <w:tcPr>
            <w:tcW w:type="dxa" w:w="3120"/>
            <w:tcBorders>
              <w:top w:val="none"/>
              <w:left w:val="none"/>
              <w:bottom w:val="none"/>
              <w:right w:val="single" w:color="0D7377" w:sz="2"/>
            </w:tcBorders>
            <w:shd w:fill="1A2E4A" w:val="clear"/>
            <w:tcMar>
              <w:top w:type="dxa" w:w="200"/>
              <w:left w:type="dxa" w:w="200"/>
              <w:bottom w:type="dxa" w:w="200"/>
              <w:right w:type="dxa" w:w="200"/>
            </w:tcMar>
          </w:tcPr>
          <w:p>
            <w:pPr>
              <w:jc w:val="center"/>
            </w:pPr>
            <w:r>
              <w:rPr>
                <w:rFonts w:ascii="Arial" w:cs="Arial" w:eastAsia="Arial" w:hAnsi="Arial"/>
                <w:b/>
                <w:bCs/>
                <w:color w:val="C9943A"/>
                <w:sz w:val="48"/>
                <w:szCs w:val="48"/>
              </w:rPr>
              <w:t xml:space="preserve">18 Months</w:t>
            </w:r>
          </w:p>
          <w:p>
            <w:pPr>
              <w:jc w:val="center"/>
            </w:pPr>
            <w:r>
              <w:rPr>
                <w:rFonts w:ascii="Arial" w:cs="Arial" w:eastAsia="Arial" w:hAnsi="Arial"/>
                <w:color w:val="FFFFFF"/>
                <w:sz w:val="19"/>
                <w:szCs w:val="19"/>
              </w:rPr>
              <w:t xml:space="preserve">To Seed Milestone</w:t>
            </w:r>
          </w:p>
        </w:tc>
        <w:tc>
          <w:tcPr>
            <w:tcW w:type="dxa" w:w="3120"/>
            <w:tcBorders>
              <w:top w:val="none"/>
              <w:left w:val="none"/>
              <w:bottom w:val="none"/>
              <w:right w:val="none"/>
            </w:tcBorders>
            <w:shd w:fill="1A2E4A" w:val="clear"/>
            <w:tcMar>
              <w:top w:type="dxa" w:w="200"/>
              <w:left w:type="dxa" w:w="200"/>
              <w:bottom w:type="dxa" w:w="200"/>
              <w:right w:type="dxa" w:w="200"/>
            </w:tcMar>
          </w:tcPr>
          <w:p>
            <w:pPr>
              <w:jc w:val="center"/>
            </w:pPr>
            <w:r>
              <w:rPr>
                <w:rFonts w:ascii="Arial" w:cs="Arial" w:eastAsia="Arial" w:hAnsi="Arial"/>
                <w:b/>
                <w:bCs/>
                <w:color w:val="C9943A"/>
                <w:sz w:val="48"/>
                <w:szCs w:val="48"/>
              </w:rPr>
              <w:t xml:space="preserve">£380K</w:t>
            </w:r>
          </w:p>
          <w:p>
            <w:pPr>
              <w:jc w:val="center"/>
            </w:pPr>
            <w:r>
              <w:rPr>
                <w:rFonts w:ascii="Arial" w:cs="Arial" w:eastAsia="Arial" w:hAnsi="Arial"/>
                <w:color w:val="FFFFFF"/>
                <w:sz w:val="19"/>
                <w:szCs w:val="19"/>
              </w:rPr>
              <w:t xml:space="preserve">ARR at 18 Months</w:t>
            </w:r>
          </w:p>
        </w:tc>
      </w:tr>
    </w:tbl>
    <w:p>
      <w:pPr>
        <w:spacing w:before="80" w:after="80"/>
        <w:jc w:val="left"/>
      </w:pPr>
      <w:r>
        <w:rPr>
          <w:rFonts w:ascii="Arial" w:cs="Arial" w:eastAsia="Arial" w:hAnsi="Arial"/>
          <w:b w:val="false"/>
          <w:bCs w:val="false"/>
          <w:i w:val="false"/>
          <w:iCs w:val="false"/>
          <w:color w:val="0E0E12"/>
          <w:sz w:val="22"/>
          <w:szCs w:val="22"/>
        </w:rPr>
        <w:t xml:space="preserve"/>
      </w:r>
    </w:p>
    <w:p>
      <w:pPr>
        <w:spacing w:before="80" w:after="80"/>
        <w:jc w:val="left"/>
      </w:pPr>
      <w:r>
        <w:rPr>
          <w:rFonts w:ascii="Arial" w:cs="Arial" w:eastAsia="Arial" w:hAnsi="Arial"/>
          <w:b w:val="false"/>
          <w:bCs w:val="false"/>
          <w:i w:val="false"/>
          <w:iCs w:val="false"/>
          <w:color w:val="0E0E1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A" w:sz="8"/>
              <w:left w:val="single" w:color="C9943A" w:sz="4"/>
              <w:bottom w:val="single" w:color="C9943A" w:sz="4"/>
              <w:right w:val="single" w:color="C9943A" w:sz="4"/>
            </w:tcBorders>
            <w:shd w:fill="FFF8EC" w:val="clear"/>
            <w:tcMar>
              <w:top w:type="dxa" w:w="200"/>
              <w:left w:type="dxa" w:w="280"/>
              <w:bottom w:type="dxa" w:w="200"/>
              <w:right w:type="dxa" w:w="280"/>
            </w:tcMar>
          </w:tcPr>
          <w:p>
            <w:r>
              <w:rPr>
                <w:rFonts w:ascii="Arial" w:cs="Arial" w:eastAsia="Arial" w:hAnsi="Arial"/>
                <w:b/>
                <w:bCs/>
                <w:color w:val="C9943A"/>
                <w:sz w:val="22"/>
                <w:szCs w:val="22"/>
              </w:rPr>
              <w:t xml:space="preserve">Founder's Note</w:t>
            </w:r>
          </w:p>
          <w:p>
            <w:pPr>
              <w:spacing w:before="100"/>
            </w:pPr>
            <w:r>
              <w:rPr>
                <w:rFonts w:ascii="Arial" w:cs="Arial" w:eastAsia="Arial" w:hAnsi="Arial"/>
                <w:i/>
                <w:iCs/>
                <w:color w:val="4A5568"/>
                <w:sz w:val="20"/>
                <w:szCs w:val="20"/>
              </w:rPr>
              <w:t xml:space="preserve">You were right. We were building the product we were excited about rather than the product the market needs right now. Version 2.0 removes the FFC™ coach certification program and the Home Hub hardware device entirely. Not because the ideas are bad — but because they are premature bets that introduce supply-side risk, regulatory complexity, and capital drag before we have proven the core digital product. This plan is leaner, faster, and honest about what we are building first and why.</w:t>
            </w:r>
          </w:p>
        </w:tc>
      </w:tr>
    </w:tbl>
    <w:p>
      <w:r>
        <w:br w:type="page"/>
      </w:r>
    </w:p>
    <w:p>
      <w:pPr>
        <w:spacing w:before="80" w:after="60"/>
      </w:pPr>
      <w:r>
        <w:rPr>
          <w:rFonts w:ascii="Arial" w:cs="Arial" w:eastAsia="Arial" w:hAnsi="Arial"/>
          <w:b/>
          <w:bCs/>
          <w:color w:val="C9943A"/>
          <w:spacing w:val="40"/>
          <w:sz w:val="17"/>
          <w:szCs w:val="17"/>
        </w:rPr>
        <w:t xml:space="preserve">§01</w:t>
      </w:r>
    </w:p>
    <w:p>
      <w:pPr>
        <w:pStyle w:val="Heading1"/>
        <w:spacing w:before="400" w:after="160"/>
      </w:pPr>
      <w:r>
        <w:rPr>
          <w:rFonts w:ascii="Arial" w:cs="Arial" w:eastAsia="Arial" w:hAnsi="Arial"/>
          <w:b/>
          <w:bCs/>
          <w:color w:val="1A2E4A"/>
          <w:sz w:val="40"/>
          <w:szCs w:val="40"/>
        </w:rPr>
        <w:t xml:space="preserve">The Problem We Are Solving</w:t>
      </w:r>
    </w:p>
    <w:p>
      <w:pPr>
        <w:pBdr>
          <w:bottom w:val="single" w:color="0D7377" w:sz="6" w:space="1"/>
        </w:pBdr>
        <w:spacing w:before="200" w:after="200"/>
      </w:pPr>
    </w:p>
    <w:p>
      <w:pPr>
        <w:spacing w:before="120" w:after="120"/>
        <w:jc w:val="left"/>
      </w:pPr>
      <w:r>
        <w:rPr>
          <w:rFonts w:ascii="Arial" w:cs="Arial" w:eastAsia="Arial" w:hAnsi="Arial"/>
          <w:b w:val="false"/>
          <w:bCs w:val="false"/>
          <w:i w:val="false"/>
          <w:iCs w:val="false"/>
          <w:color w:val="0E0E12"/>
          <w:sz w:val="23"/>
          <w:szCs w:val="23"/>
        </w:rPr>
        <w:t xml:space="preserve">Most families do not have a money problem. They have a visibility, coordination, and behaviour problem. The tools that exist today are either too complex, too fragmented, or designed for individuals — not households. No product has ever been built with the household as the unit of account.</w:t>
      </w:r>
    </w:p>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The Four Core Failures</w:t>
      </w:r>
    </w:p>
    <w:p>
      <w:pPr>
        <w:pStyle w:val="Heading3"/>
        <w:spacing w:before="220" w:after="100"/>
      </w:pPr>
      <w:r>
        <w:rPr>
          <w:rFonts w:ascii="Arial" w:cs="Arial" w:eastAsia="Arial" w:hAnsi="Arial"/>
          <w:b/>
          <w:bCs/>
          <w:color w:val="4A5568"/>
          <w:sz w:val="24"/>
          <w:szCs w:val="24"/>
        </w:rPr>
        <w:t xml:space="preserve">1. Zero Spending Visibility</w:t>
      </w:r>
    </w:p>
    <w:p>
      <w:pPr>
        <w:spacing w:before="120" w:after="120"/>
        <w:jc w:val="left"/>
      </w:pPr>
      <w:r>
        <w:rPr>
          <w:rFonts w:ascii="Arial" w:cs="Arial" w:eastAsia="Arial" w:hAnsi="Arial"/>
          <w:b w:val="false"/>
          <w:bCs w:val="false"/>
          <w:i w:val="false"/>
          <w:iCs w:val="false"/>
          <w:color w:val="0E0E12"/>
          <w:sz w:val="22"/>
          <w:szCs w:val="22"/>
        </w:rPr>
        <w:t xml:space="preserve">Money leaves accounts across 3–6 cards, apps, and subscriptions. Families genuinely do not know where 20–40% of their income goes until it is gone. By the time awareness arrives, the damage is done.</w:t>
      </w:r>
    </w:p>
    <w:p>
      <w:pPr>
        <w:pStyle w:val="Heading3"/>
        <w:spacing w:before="220" w:after="100"/>
      </w:pPr>
      <w:r>
        <w:rPr>
          <w:rFonts w:ascii="Arial" w:cs="Arial" w:eastAsia="Arial" w:hAnsi="Arial"/>
          <w:b/>
          <w:bCs/>
          <w:color w:val="4A5568"/>
          <w:sz w:val="24"/>
          <w:szCs w:val="24"/>
        </w:rPr>
        <w:t xml:space="preserve">2. No Household Coordination</w:t>
      </w:r>
    </w:p>
    <w:p>
      <w:pPr>
        <w:spacing w:before="120" w:after="120"/>
        <w:jc w:val="left"/>
      </w:pPr>
      <w:r>
        <w:rPr>
          <w:rFonts w:ascii="Arial" w:cs="Arial" w:eastAsia="Arial" w:hAnsi="Arial"/>
          <w:b w:val="false"/>
          <w:bCs w:val="false"/>
          <w:i w:val="false"/>
          <w:iCs w:val="false"/>
          <w:color w:val="0E0E12"/>
          <w:sz w:val="22"/>
          <w:szCs w:val="22"/>
        </w:rPr>
        <w:t xml:space="preserve">When two people share finances but use separate tools, every financial decision carries hidden information asymmetry. One partner makes a purchase the other doesn't know about until the statement arrives. Blame replaces planning.</w:t>
      </w:r>
    </w:p>
    <w:p>
      <w:pPr>
        <w:pStyle w:val="Heading3"/>
        <w:spacing w:before="220" w:after="100"/>
      </w:pPr>
      <w:r>
        <w:rPr>
          <w:rFonts w:ascii="Arial" w:cs="Arial" w:eastAsia="Arial" w:hAnsi="Arial"/>
          <w:b/>
          <w:bCs/>
          <w:color w:val="4A5568"/>
          <w:sz w:val="24"/>
          <w:szCs w:val="24"/>
        </w:rPr>
        <w:t xml:space="preserve">3. Reactive, Not Proactive Planning</w:t>
      </w:r>
    </w:p>
    <w:p>
      <w:pPr>
        <w:spacing w:before="120" w:after="120"/>
        <w:jc w:val="left"/>
      </w:pPr>
      <w:r>
        <w:rPr>
          <w:rFonts w:ascii="Arial" w:cs="Arial" w:eastAsia="Arial" w:hAnsi="Arial"/>
          <w:b w:val="false"/>
          <w:bCs w:val="false"/>
          <w:i w:val="false"/>
          <w:iCs w:val="false"/>
          <w:color w:val="0E0E12"/>
          <w:sz w:val="22"/>
          <w:szCs w:val="22"/>
        </w:rPr>
        <w:t xml:space="preserve">Families budget by looking backwards — checking what they already spent. Real planning requires forward-looking income mapping: knowing when big expenses hit before they arrive. School fees, insurance renewals, car services — all surprises that should not be.</w:t>
      </w:r>
    </w:p>
    <w:p>
      <w:pPr>
        <w:pStyle w:val="Heading3"/>
        <w:spacing w:before="220" w:after="100"/>
      </w:pPr>
      <w:r>
        <w:rPr>
          <w:rFonts w:ascii="Arial" w:cs="Arial" w:eastAsia="Arial" w:hAnsi="Arial"/>
          <w:b/>
          <w:bCs/>
          <w:color w:val="4A5568"/>
          <w:sz w:val="24"/>
          <w:szCs w:val="24"/>
        </w:rPr>
        <w:t xml:space="preserve">4. Subscription and Debt Creep</w:t>
      </w:r>
    </w:p>
    <w:p>
      <w:pPr>
        <w:spacing w:before="120" w:after="120"/>
        <w:jc w:val="left"/>
      </w:pPr>
      <w:r>
        <w:rPr>
          <w:rFonts w:ascii="Arial" w:cs="Arial" w:eastAsia="Arial" w:hAnsi="Arial"/>
          <w:b w:val="false"/>
          <w:bCs w:val="false"/>
          <w:i w:val="false"/>
          <w:iCs w:val="false"/>
          <w:color w:val="0E0E12"/>
          <w:sz w:val="22"/>
          <w:szCs w:val="22"/>
        </w:rPr>
        <w:t xml:space="preserve">The average UK household pays for 12+ subscriptions — many forgotten or duplicated. Debt compounds silently through minimum payments on credit cards and buy-now-pay-later schemes with no unified view of total liability.</w:t>
      </w:r>
    </w:p>
    <w:p>
      <w:pPr>
        <w:spacing w:before="80" w:after="80"/>
        <w:jc w:val="left"/>
      </w:pPr>
      <w:r>
        <w:rPr>
          <w:rFonts w:ascii="Arial" w:cs="Arial" w:eastAsia="Arial" w:hAnsi="Arial"/>
          <w:b w:val="false"/>
          <w:bCs w:val="false"/>
          <w:i w:val="false"/>
          <w:iCs w:val="false"/>
          <w:color w:val="0E0E1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8"/>
              <w:left w:val="none" w:color="FFFFFF" w:sz="0"/>
              <w:bottom w:val="single" w:color="0D7377" w:sz="8"/>
              <w:right w:val="none" w:color="FFFFFF" w:sz="0"/>
            </w:tcBorders>
            <w:shd w:fill="EBF8F8" w:val="clear"/>
            <w:tcMar>
              <w:top w:type="dxa" w:w="200"/>
              <w:left w:type="dxa" w:w="300"/>
              <w:bottom w:type="dxa" w:w="200"/>
              <w:right w:type="dxa" w:w="300"/>
            </w:tcMar>
          </w:tcPr>
          <w:p>
            <w:pPr>
              <w:jc w:val="center"/>
            </w:pPr>
            <w:r>
              <w:rPr>
                <w:rFonts w:ascii="Arial" w:cs="Arial" w:eastAsia="Arial" w:hAnsi="Arial"/>
                <w:b/>
                <w:bCs/>
                <w:i/>
                <w:iCs/>
                <w:color w:val="0D7377"/>
                <w:sz w:val="26"/>
                <w:szCs w:val="26"/>
              </w:rPr>
              <w:t xml:space="preserve">"Financial stress is the leading cause of relationship breakdown. Visibility, not information, is the cure."</w:t>
            </w:r>
          </w:p>
          <w:p>
            <w:pPr>
              <w:spacing w:before="80"/>
              <w:jc w:val="center"/>
            </w:pPr>
            <w:r>
              <w:rPr>
                <w:rFonts w:ascii="Arial" w:cs="Arial" w:eastAsia="Arial" w:hAnsi="Arial"/>
                <w:color w:val="4A5568"/>
                <w:sz w:val="19"/>
                <w:szCs w:val="19"/>
              </w:rPr>
              <w:t xml:space="preserve">— FinFlow Thesis</w:t>
            </w:r>
          </w:p>
        </w:tc>
      </w:tr>
    </w:tbl>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Why This Market, Why Now</w:t>
      </w:r>
    </w:p>
    <w:p>
      <w:pPr>
        <w:pStyle w:val="ListParagraph"/>
        <w:numPr>
          <w:ilvl w:val="0"/>
          <w:numId w:val="2"/>
        </w:numPr>
        <w:spacing w:before="60" w:after="60"/>
      </w:pPr>
      <w:r>
        <w:rPr>
          <w:rFonts w:ascii="Arial" w:cs="Arial" w:eastAsia="Arial" w:hAnsi="Arial"/>
          <w:b/>
          <w:bCs/>
          <w:color w:val="0D7377"/>
          <w:sz w:val="21"/>
          <w:szCs w:val="21"/>
        </w:rPr>
        <w:t xml:space="preserve">Infrastructure ready.  </w:t>
      </w:r>
      <w:r>
        <w:rPr>
          <w:rFonts w:ascii="Arial" w:cs="Arial" w:eastAsia="Arial" w:hAnsi="Arial"/>
          <w:color w:val="0E0E12"/>
          <w:sz w:val="21"/>
          <w:szCs w:val="21"/>
        </w:rPr>
        <w:t xml:space="preserve"> Open Banking matured: TrueLayer connects 60+ UK banks with read-only API access — the technical infrastructure finally works.</w:t>
      </w:r>
    </w:p>
    <w:p>
      <w:pPr>
        <w:pStyle w:val="ListParagraph"/>
        <w:numPr>
          <w:ilvl w:val="0"/>
          <w:numId w:val="2"/>
        </w:numPr>
        <w:spacing w:before="60" w:after="60"/>
      </w:pPr>
      <w:r>
        <w:rPr>
          <w:rFonts w:ascii="Arial" w:cs="Arial" w:eastAsia="Arial" w:hAnsi="Arial"/>
          <w:b/>
          <w:bCs/>
          <w:color w:val="0D7377"/>
          <w:sz w:val="21"/>
          <w:szCs w:val="21"/>
        </w:rPr>
        <w:t xml:space="preserve">AI categorisation works.  </w:t>
      </w:r>
      <w:r>
        <w:rPr>
          <w:rFonts w:ascii="Arial" w:cs="Arial" w:eastAsia="Arial" w:hAnsi="Arial"/>
          <w:color w:val="0E0E12"/>
          <w:sz w:val="21"/>
          <w:szCs w:val="21"/>
        </w:rPr>
        <w:t xml:space="preserve"> AI categorisation can now auto-label spending with 94%+ accuracy — removing the manual entry burden that killed Mint.</w:t>
      </w:r>
    </w:p>
    <w:p>
      <w:pPr>
        <w:pStyle w:val="ListParagraph"/>
        <w:numPr>
          <w:ilvl w:val="0"/>
          <w:numId w:val="2"/>
        </w:numPr>
        <w:spacing w:before="60" w:after="60"/>
      </w:pPr>
      <w:r>
        <w:rPr>
          <w:rFonts w:ascii="Arial" w:cs="Arial" w:eastAsia="Arial" w:hAnsi="Arial"/>
          <w:b/>
          <w:bCs/>
          <w:color w:val="0D7377"/>
          <w:sz w:val="21"/>
          <w:szCs w:val="21"/>
        </w:rPr>
        <w:t xml:space="preserve">Macro urgency is real.  </w:t>
      </w:r>
      <w:r>
        <w:rPr>
          <w:rFonts w:ascii="Arial" w:cs="Arial" w:eastAsia="Arial" w:hAnsi="Arial"/>
          <w:color w:val="0E0E12"/>
          <w:sz w:val="21"/>
          <w:szCs w:val="21"/>
        </w:rPr>
        <w:t xml:space="preserve"> Post-COVID household debt in the UK hit £1.8T. Financial anxiety is at a decade high. Demand has never been greater.</w:t>
      </w:r>
    </w:p>
    <w:p>
      <w:pPr>
        <w:pStyle w:val="ListParagraph"/>
        <w:numPr>
          <w:ilvl w:val="0"/>
          <w:numId w:val="2"/>
        </w:numPr>
        <w:spacing w:before="60" w:after="60"/>
      </w:pPr>
      <w:r>
        <w:rPr>
          <w:rFonts w:ascii="Arial" w:cs="Arial" w:eastAsia="Arial" w:hAnsi="Arial"/>
          <w:b/>
          <w:bCs/>
          <w:color w:val="0D7377"/>
          <w:sz w:val="21"/>
          <w:szCs w:val="21"/>
        </w:rPr>
        <w:t xml:space="preserve">Market is genuinely open.  </w:t>
      </w:r>
      <w:r>
        <w:rPr>
          <w:rFonts w:ascii="Arial" w:cs="Arial" w:eastAsia="Arial" w:hAnsi="Arial"/>
          <w:color w:val="0E0E12"/>
          <w:sz w:val="21"/>
          <w:szCs w:val="21"/>
        </w:rPr>
        <w:t xml:space="preserve"> No credible competitor owns the household-first positioning. Monzo, Emma, and Plum are all individual-first products.</w:t>
      </w:r>
    </w:p>
    <w:p>
      <w:r>
        <w:br w:type="page"/>
      </w:r>
    </w:p>
    <w:p>
      <w:pPr>
        <w:spacing w:before="80" w:after="60"/>
      </w:pPr>
      <w:r>
        <w:rPr>
          <w:rFonts w:ascii="Arial" w:cs="Arial" w:eastAsia="Arial" w:hAnsi="Arial"/>
          <w:b/>
          <w:bCs/>
          <w:color w:val="C9943A"/>
          <w:spacing w:val="40"/>
          <w:sz w:val="17"/>
          <w:szCs w:val="17"/>
        </w:rPr>
        <w:t xml:space="preserve">§02</w:t>
      </w:r>
    </w:p>
    <w:p>
      <w:pPr>
        <w:pStyle w:val="Heading1"/>
        <w:spacing w:before="400" w:after="160"/>
      </w:pPr>
      <w:r>
        <w:rPr>
          <w:rFonts w:ascii="Arial" w:cs="Arial" w:eastAsia="Arial" w:hAnsi="Arial"/>
          <w:b/>
          <w:bCs/>
          <w:color w:val="1A2E4A"/>
          <w:sz w:val="40"/>
          <w:szCs w:val="40"/>
        </w:rPr>
        <w:t xml:space="preserve">The Product: Irreducible Core</w:t>
      </w:r>
    </w:p>
    <w:p>
      <w:pPr>
        <w:pBdr>
          <w:bottom w:val="single" w:color="0D7377" w:sz="6" w:space="1"/>
        </w:pBdr>
        <w:spacing w:before="200" w:after="200"/>
      </w:pPr>
    </w:p>
    <w:p>
      <w:pPr>
        <w:spacing w:before="120" w:after="120"/>
        <w:jc w:val="left"/>
      </w:pPr>
      <w:r>
        <w:rPr>
          <w:rFonts w:ascii="Arial" w:cs="Arial" w:eastAsia="Arial" w:hAnsi="Arial"/>
          <w:b w:val="false"/>
          <w:bCs w:val="false"/>
          <w:i w:val="false"/>
          <w:iCs w:val="false"/>
          <w:color w:val="0E0E12"/>
          <w:sz w:val="23"/>
          <w:szCs w:val="23"/>
        </w:rPr>
        <w:t xml:space="preserve">Version 2.0 defines a precise MVP. We are not building the entire vision. We are building the smallest set of features that proves the core hypothesis: that households will pay for shared financial visibility, and that this visibility alone creates retention that individual finance apps cannot match.</w:t>
      </w:r>
    </w:p>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What We Build at Pre-Seed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400"/>
        <w:gridCol w:w="5760"/>
      </w:tblGrid>
      <w:tr>
        <w:tc>
          <w:tcPr>
            <w:tcW w:type="dxa" w:w="2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
            </w:r>
          </w:p>
        </w:tc>
        <w:tc>
          <w:tcPr>
            <w:tcW w:type="dxa" w:w="34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Feature</w:t>
            </w:r>
          </w:p>
        </w:tc>
        <w:tc>
          <w:tcPr>
            <w:tcW w:type="dxa" w:w="576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Why It Matters</w:t>
            </w:r>
          </w:p>
        </w:tc>
      </w:tr>
      <w:tr>
        <w:tc>
          <w:tcPr>
            <w:tcW w:type="dxa" w:w="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center"/>
            </w:pPr>
            <w:r>
              <w:rPr>
                <w:rFonts w:ascii="Arial" w:cs="Arial" w:eastAsia="Arial" w:hAnsi="Arial"/>
                <w:b/>
                <w:bCs/>
                <w:i w:val="false"/>
                <w:iCs w:val="false"/>
                <w:color w:val="0D7377"/>
                <w:sz w:val="20"/>
                <w:szCs w:val="20"/>
              </w:rPr>
              <w:t xml:space="preserve">1</w:t>
            </w:r>
          </w:p>
        </w:tc>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Open Banking Connection (read-only)</w:t>
            </w:r>
          </w:p>
        </w:tc>
        <w:tc>
          <w:tcPr>
            <w:tcW w:type="dxa" w:w="57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Core data layer. TrueLayer API. No manual entry. Zero friction.</w:t>
            </w:r>
          </w:p>
        </w:tc>
      </w:tr>
      <w:tr>
        <w:tc>
          <w:tcPr>
            <w:tcW w:type="dxa" w:w="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center"/>
            </w:pPr>
            <w:r>
              <w:rPr>
                <w:rFonts w:ascii="Arial" w:cs="Arial" w:eastAsia="Arial" w:hAnsi="Arial"/>
                <w:b/>
                <w:bCs/>
                <w:i w:val="false"/>
                <w:iCs w:val="false"/>
                <w:color w:val="0D7377"/>
                <w:sz w:val="20"/>
                <w:szCs w:val="20"/>
              </w:rPr>
              <w:t xml:space="preserve">2</w:t>
            </w:r>
          </w:p>
        </w:tc>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Household Shared Dashboard</w:t>
            </w:r>
          </w:p>
        </w:tc>
        <w:tc>
          <w:tcPr>
            <w:tcW w:type="dxa" w:w="57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Both partners see one live view. The foundational differentiation no competitor offers.</w:t>
            </w:r>
          </w:p>
        </w:tc>
      </w:tr>
      <w:tr>
        <w:tc>
          <w:tcPr>
            <w:tcW w:type="dxa" w:w="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center"/>
            </w:pPr>
            <w:r>
              <w:rPr>
                <w:rFonts w:ascii="Arial" w:cs="Arial" w:eastAsia="Arial" w:hAnsi="Arial"/>
                <w:b/>
                <w:bCs/>
                <w:i w:val="false"/>
                <w:iCs w:val="false"/>
                <w:color w:val="0D7377"/>
                <w:sz w:val="20"/>
                <w:szCs w:val="20"/>
              </w:rPr>
              <w:t xml:space="preserve">3</w:t>
            </w:r>
          </w:p>
        </w:tc>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AI Spending Categorisation</w:t>
            </w:r>
          </w:p>
        </w:tc>
        <w:tc>
          <w:tcPr>
            <w:tcW w:type="dxa" w:w="57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24 categories, auto-labelled, editable. Proves AI accuracy is production-grade.</w:t>
            </w:r>
          </w:p>
        </w:tc>
      </w:tr>
      <w:tr>
        <w:tc>
          <w:tcPr>
            <w:tcW w:type="dxa" w:w="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center"/>
            </w:pPr>
            <w:r>
              <w:rPr>
                <w:rFonts w:ascii="Arial" w:cs="Arial" w:eastAsia="Arial" w:hAnsi="Arial"/>
                <w:b/>
                <w:bCs/>
                <w:i w:val="false"/>
                <w:iCs w:val="false"/>
                <w:color w:val="0D7377"/>
                <w:sz w:val="20"/>
                <w:szCs w:val="20"/>
              </w:rPr>
              <w:t xml:space="preserve">4</w:t>
            </w:r>
          </w:p>
        </w:tc>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Weekly Budget Tracker</w:t>
            </w:r>
          </w:p>
        </w:tc>
        <w:tc>
          <w:tcPr>
            <w:tcW w:type="dxa" w:w="57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Green / amber / red status. Always visible on home screen. The daily habit anchor.</w:t>
            </w:r>
          </w:p>
        </w:tc>
      </w:tr>
      <w:tr>
        <w:tc>
          <w:tcPr>
            <w:tcW w:type="dxa" w:w="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center"/>
            </w:pPr>
            <w:r>
              <w:rPr>
                <w:rFonts w:ascii="Arial" w:cs="Arial" w:eastAsia="Arial" w:hAnsi="Arial"/>
                <w:b/>
                <w:bCs/>
                <w:i w:val="false"/>
                <w:iCs w:val="false"/>
                <w:color w:val="0D7377"/>
                <w:sz w:val="20"/>
                <w:szCs w:val="20"/>
              </w:rPr>
              <w:t xml:space="preserve">5</w:t>
            </w:r>
          </w:p>
        </w:tc>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Subscription Detector</w:t>
            </w:r>
          </w:p>
        </w:tc>
        <w:tc>
          <w:tcPr>
            <w:tcW w:type="dxa" w:w="57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Recurring charges identified, labelled, dormant flagged. Avg. saves £87/month. Instant win.</w:t>
            </w:r>
          </w:p>
        </w:tc>
      </w:tr>
      <w:tr>
        <w:tc>
          <w:tcPr>
            <w:tcW w:type="dxa" w:w="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center"/>
            </w:pPr>
            <w:r>
              <w:rPr>
                <w:rFonts w:ascii="Arial" w:cs="Arial" w:eastAsia="Arial" w:hAnsi="Arial"/>
                <w:b/>
                <w:bCs/>
                <w:i w:val="false"/>
                <w:iCs w:val="false"/>
                <w:color w:val="0D7377"/>
                <w:sz w:val="20"/>
                <w:szCs w:val="20"/>
              </w:rPr>
              <w:t xml:space="preserve">6</w:t>
            </w:r>
          </w:p>
        </w:tc>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Bill Calendar (30-Day)</w:t>
            </w:r>
          </w:p>
        </w:tc>
        <w:tc>
          <w:tcPr>
            <w:tcW w:type="dxa" w:w="57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Forward-looking view. Families stop being surprised. Eliminates reactive budgeting.</w:t>
            </w:r>
          </w:p>
        </w:tc>
      </w:tr>
      <w:tr>
        <w:tc>
          <w:tcPr>
            <w:tcW w:type="dxa" w:w="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center"/>
            </w:pPr>
            <w:r>
              <w:rPr>
                <w:rFonts w:ascii="Arial" w:cs="Arial" w:eastAsia="Arial" w:hAnsi="Arial"/>
                <w:b/>
                <w:bCs/>
                <w:i w:val="false"/>
                <w:iCs w:val="false"/>
                <w:color w:val="0D7377"/>
                <w:sz w:val="20"/>
                <w:szCs w:val="20"/>
              </w:rPr>
              <w:t xml:space="preserve">7</w:t>
            </w:r>
          </w:p>
        </w:tc>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Partner Sync (&lt; 3 seconds)</w:t>
            </w:r>
          </w:p>
        </w:tc>
        <w:tc>
          <w:tcPr>
            <w:tcW w:type="dxa" w:w="57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When one partner spends, the other sees it before they leave checkout. The trust-builder.</w:t>
            </w:r>
          </w:p>
        </w:tc>
      </w:tr>
      <w:tr>
        <w:tc>
          <w:tcPr>
            <w:tcW w:type="dxa" w:w="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center"/>
            </w:pPr>
            <w:r>
              <w:rPr>
                <w:rFonts w:ascii="Arial" w:cs="Arial" w:eastAsia="Arial" w:hAnsi="Arial"/>
                <w:b/>
                <w:bCs/>
                <w:i w:val="false"/>
                <w:iCs w:val="false"/>
                <w:color w:val="0D7377"/>
                <w:sz w:val="20"/>
                <w:szCs w:val="20"/>
              </w:rPr>
              <w:t xml:space="preserve">8</w:t>
            </w:r>
          </w:p>
        </w:tc>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Pulse Score v1</w:t>
            </w:r>
          </w:p>
        </w:tc>
        <w:tc>
          <w:tcPr>
            <w:tcW w:type="dxa" w:w="57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5-factor composite: income stability, spending control, debt ratio, savings rate, bill punctuality. The B2B licensing seed.</w:t>
            </w:r>
          </w:p>
        </w:tc>
      </w:tr>
      <w:tr>
        <w:tc>
          <w:tcPr>
            <w:tcW w:type="dxa" w:w="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center"/>
            </w:pPr>
            <w:r>
              <w:rPr>
                <w:rFonts w:ascii="Arial" w:cs="Arial" w:eastAsia="Arial" w:hAnsi="Arial"/>
                <w:b/>
                <w:bCs/>
                <w:i w:val="false"/>
                <w:iCs w:val="false"/>
                <w:color w:val="0D7377"/>
                <w:sz w:val="20"/>
                <w:szCs w:val="20"/>
              </w:rPr>
              <w:t xml:space="preserve">9</w:t>
            </w:r>
          </w:p>
        </w:tc>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Morning Pulse Notification</w:t>
            </w:r>
          </w:p>
        </w:tc>
        <w:tc>
          <w:tcPr>
            <w:tcW w:type="dxa" w:w="57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One daily signal. AI selects highest-relevance moment. Maximum one per day — no spam.</w:t>
            </w:r>
          </w:p>
        </w:tc>
      </w:tr>
      <w:tr>
        <w:tc>
          <w:tcPr>
            <w:tcW w:type="dxa" w:w="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center"/>
            </w:pPr>
            <w:r>
              <w:rPr>
                <w:rFonts w:ascii="Arial" w:cs="Arial" w:eastAsia="Arial" w:hAnsi="Arial"/>
                <w:b/>
                <w:bCs/>
                <w:i w:val="false"/>
                <w:iCs w:val="false"/>
                <w:color w:val="0D7377"/>
                <w:sz w:val="20"/>
                <w:szCs w:val="20"/>
              </w:rPr>
              <w:t xml:space="preserve">10</w:t>
            </w:r>
          </w:p>
        </w:tc>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Sunday Weekly Review</w:t>
            </w:r>
          </w:p>
        </w:tc>
        <w:tc>
          <w:tcPr>
            <w:tcW w:type="dxa" w:w="57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10-minute guided session. Wins, one worry, one action. The weekly ritual that drives 52× annual engagement.</w:t>
            </w:r>
          </w:p>
        </w:tc>
      </w:tr>
    </w:tbl>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What We Explicitly Remove from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Removed</w:t>
            </w:r>
          </w:p>
        </w:tc>
        <w:tc>
          <w:tcPr>
            <w:tcW w:type="dxa" w:w="636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Why Removed</w:t>
            </w:r>
          </w:p>
        </w:tc>
      </w:tr>
      <w:tr>
        <w:tc>
          <w:tcPr>
            <w:tcW w:type="dxa" w:w="3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C0392B"/>
                <w:sz w:val="20"/>
                <w:szCs w:val="20"/>
              </w:rPr>
              <w:t xml:space="preserve">FFC™ Coach Certification Program</w:t>
            </w:r>
          </w:p>
        </w:tc>
        <w:tc>
          <w:tcPr>
            <w:tcW w:type="dxa" w:w="6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Building a certification body is a second startup. Liability exposure before product-market fit. Supply-side risk unpredictable. Reintroduce post-Series A with a legal and compliance framework in place.</w:t>
            </w:r>
          </w:p>
        </w:tc>
      </w:tr>
      <w:tr>
        <w:tc>
          <w:tcPr>
            <w:tcW w:type="dxa" w:w="3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C0392B"/>
                <w:sz w:val="20"/>
                <w:szCs w:val="20"/>
              </w:rPr>
              <w:t xml:space="preserve">Home Hub Physical Device</w:t>
            </w:r>
          </w:p>
        </w:tc>
        <w:tc>
          <w:tcPr>
            <w:tcW w:type="dxa" w:w="6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Hardware compounds burn rate, CE certification takes 6–12 months, and manufacturing at 15K units requires capital commitments before demand is proven. The digital product must earn device trust first.</w:t>
            </w:r>
          </w:p>
        </w:tc>
      </w:tr>
      <w:tr>
        <w:tc>
          <w:tcPr>
            <w:tcW w:type="dxa" w:w="3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C0392B"/>
                <w:sz w:val="20"/>
                <w:szCs w:val="20"/>
              </w:rPr>
              <w:t xml:space="preserve">Achievement Boxes (Physical)</w:t>
            </w:r>
          </w:p>
        </w:tc>
        <w:tc>
          <w:tcPr>
            <w:tcW w:type="dxa" w:w="6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Delightful concept. Logistically premature. Supply chain management distracts a 4-person team from product velocity. Revisit at Seed when fulfilment can be outsourced cleanly.</w:t>
            </w:r>
          </w:p>
        </w:tc>
      </w:tr>
      <w:tr>
        <w:tc>
          <w:tcPr>
            <w:tcW w:type="dxa" w:w="3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C0392B"/>
                <w:sz w:val="20"/>
                <w:szCs w:val="20"/>
              </w:rPr>
              <w:t xml:space="preserve">Ritual Letter (Physical Mail)</w:t>
            </w:r>
          </w:p>
        </w:tc>
        <w:tc>
          <w:tcPr>
            <w:tcW w:type="dxa" w:w="6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Tested in validation phase only. If social sharing rate exceeds 40%, reintroduce at Seed. Not a core retention driver — a delight layer that can wait.</w:t>
            </w:r>
          </w:p>
        </w:tc>
      </w:tr>
    </w:tbl>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The Couple Consent Problem — Addressed</w:t>
      </w:r>
    </w:p>
    <w:p>
      <w:pPr>
        <w:spacing w:before="120" w:after="120"/>
        <w:jc w:val="left"/>
      </w:pPr>
      <w:r>
        <w:rPr>
          <w:rFonts w:ascii="Arial" w:cs="Arial" w:eastAsia="Arial" w:hAnsi="Arial"/>
          <w:b/>
          <w:bCs/>
          <w:i w:val="false"/>
          <w:iCs w:val="false"/>
          <w:color w:val="0E0E12"/>
          <w:sz w:val="22"/>
          <w:szCs w:val="22"/>
        </w:rPr>
        <w:t xml:space="preserve">The investor identified this correctly as our most critical unsolved design challenge. Here is the explicit answer.</w:t>
      </w:r>
    </w:p>
    <w:p>
      <w:pPr>
        <w:spacing w:before="80" w:after="80"/>
        <w:jc w:val="left"/>
      </w:pPr>
      <w:r>
        <w:rPr>
          <w:rFonts w:ascii="Arial" w:cs="Arial" w:eastAsia="Arial" w:hAnsi="Arial"/>
          <w:b w:val="false"/>
          <w:bCs w:val="false"/>
          <w:i w:val="false"/>
          <w:iCs w:val="false"/>
          <w:color w:val="0E0E12"/>
          <w:sz w:val="22"/>
          <w:szCs w:val="22"/>
        </w:rPr>
        <w:t xml:space="preserve"/>
      </w:r>
    </w:p>
    <w:p>
      <w:pPr>
        <w:spacing w:before="120" w:after="120"/>
        <w:jc w:val="left"/>
      </w:pPr>
      <w:r>
        <w:rPr>
          <w:rFonts w:ascii="Arial" w:cs="Arial" w:eastAsia="Arial" w:hAnsi="Arial"/>
          <w:b w:val="false"/>
          <w:bCs w:val="false"/>
          <w:i w:val="false"/>
          <w:iCs w:val="false"/>
          <w:color w:val="0E0E12"/>
          <w:sz w:val="22"/>
          <w:szCs w:val="22"/>
        </w:rPr>
        <w:t xml:space="preserve">The product must work for one partner before the other joins. We build a solo mode from day one: full spending visibility for a single user, with a persistent but non-pressuring invite prompt. The invite is framed around a specific data point — "Your household saves 34% more when both partners use FinFlow" — not a generic call to action.</w:t>
      </w:r>
    </w:p>
    <w:p>
      <w:pPr>
        <w:spacing w:before="80" w:after="80"/>
        <w:jc w:val="left"/>
      </w:pPr>
      <w:r>
        <w:rPr>
          <w:rFonts w:ascii="Arial" w:cs="Arial" w:eastAsia="Arial" w:hAnsi="Arial"/>
          <w:b w:val="false"/>
          <w:bCs w:val="false"/>
          <w:i w:val="false"/>
          <w:iCs w:val="false"/>
          <w:color w:val="0E0E12"/>
          <w:sz w:val="22"/>
          <w:szCs w:val="22"/>
        </w:rPr>
        <w:t xml:space="preserve"/>
      </w:r>
    </w:p>
    <w:p>
      <w:pPr>
        <w:pStyle w:val="ListParagraph"/>
        <w:numPr>
          <w:ilvl w:val="0"/>
          <w:numId w:val="2"/>
        </w:numPr>
        <w:spacing w:before="60" w:after="60"/>
      </w:pPr>
      <w:r>
        <w:rPr>
          <w:rFonts w:ascii="Arial" w:cs="Arial" w:eastAsia="Arial" w:hAnsi="Arial"/>
          <w:b/>
          <w:bCs/>
          <w:color w:val="0D7377"/>
          <w:sz w:val="21"/>
          <w:szCs w:val="21"/>
        </w:rPr>
        <w:t xml:space="preserve">Solo mode first.  </w:t>
      </w:r>
      <w:r>
        <w:rPr>
          <w:rFonts w:ascii="Arial" w:cs="Arial" w:eastAsia="Arial" w:hAnsi="Arial"/>
          <w:color w:val="0E0E12"/>
          <w:sz w:val="21"/>
          <w:szCs w:val="21"/>
        </w:rPr>
        <w:t xml:space="preserve"> Solo mode delivers full spending visibility, subscription audit, and bill calendar for a single user.</w:t>
      </w:r>
    </w:p>
    <w:p>
      <w:pPr>
        <w:pStyle w:val="ListParagraph"/>
        <w:numPr>
          <w:ilvl w:val="0"/>
          <w:numId w:val="2"/>
        </w:numPr>
        <w:spacing w:before="60" w:after="60"/>
      </w:pPr>
      <w:r>
        <w:rPr>
          <w:rFonts w:ascii="Arial" w:cs="Arial" w:eastAsia="Arial" w:hAnsi="Arial"/>
          <w:b/>
          <w:bCs/>
          <w:color w:val="0D7377"/>
          <w:sz w:val="21"/>
          <w:szCs w:val="21"/>
        </w:rPr>
        <w:t xml:space="preserve">Delayed, strategic invite.  </w:t>
      </w:r>
      <w:r>
        <w:rPr>
          <w:rFonts w:ascii="Arial" w:cs="Arial" w:eastAsia="Arial" w:hAnsi="Arial"/>
          <w:color w:val="0E0E12"/>
          <w:sz w:val="21"/>
          <w:szCs w:val="21"/>
        </w:rPr>
        <w:t xml:space="preserve"> Partner invite sent after the Day 3 "reveal" moment when trust is at its peak, not during onboarding.</w:t>
      </w:r>
    </w:p>
    <w:p>
      <w:pPr>
        <w:pStyle w:val="ListParagraph"/>
        <w:numPr>
          <w:ilvl w:val="0"/>
          <w:numId w:val="2"/>
        </w:numPr>
        <w:spacing w:before="60" w:after="60"/>
      </w:pPr>
      <w:r>
        <w:rPr>
          <w:rFonts w:ascii="Arial" w:cs="Arial" w:eastAsia="Arial" w:hAnsi="Arial"/>
          <w:b/>
          <w:bCs/>
          <w:color w:val="0D7377"/>
          <w:sz w:val="21"/>
          <w:szCs w:val="21"/>
        </w:rPr>
        <w:t xml:space="preserve">Soft shared goals.  </w:t>
      </w:r>
      <w:r>
        <w:rPr>
          <w:rFonts w:ascii="Arial" w:cs="Arial" w:eastAsia="Arial" w:hAnsi="Arial"/>
          <w:color w:val="0E0E12"/>
          <w:sz w:val="21"/>
          <w:szCs w:val="21"/>
        </w:rPr>
        <w:t xml:space="preserve"> One partner can set a shared goal visible to their partner without requiring them to connect a bank account.</w:t>
      </w:r>
    </w:p>
    <w:p>
      <w:pPr>
        <w:pStyle w:val="ListParagraph"/>
        <w:numPr>
          <w:ilvl w:val="0"/>
          <w:numId w:val="2"/>
        </w:numPr>
        <w:spacing w:before="60" w:after="60"/>
      </w:pPr>
      <w:r>
        <w:rPr>
          <w:rFonts w:ascii="Arial" w:cs="Arial" w:eastAsia="Arial" w:hAnsi="Arial"/>
          <w:b/>
          <w:bCs/>
          <w:color w:val="0D7377"/>
          <w:sz w:val="21"/>
          <w:szCs w:val="21"/>
        </w:rPr>
        <w:t xml:space="preserve">Granular privacy.  </w:t>
      </w:r>
      <w:r>
        <w:rPr>
          <w:rFonts w:ascii="Arial" w:cs="Arial" w:eastAsia="Arial" w:hAnsi="Arial"/>
          <w:color w:val="0E0E12"/>
          <w:sz w:val="21"/>
          <w:szCs w:val="21"/>
        </w:rPr>
        <w:t xml:space="preserve"> Privacy controls: each partner can mark individual transactions as private. Visibility is opt-in, not forced.</w:t>
      </w:r>
    </w:p>
    <w:p>
      <w:r>
        <w:br w:type="page"/>
      </w:r>
    </w:p>
    <w:p>
      <w:pPr>
        <w:spacing w:before="80" w:after="60"/>
      </w:pPr>
      <w:r>
        <w:rPr>
          <w:rFonts w:ascii="Arial" w:cs="Arial" w:eastAsia="Arial" w:hAnsi="Arial"/>
          <w:b/>
          <w:bCs/>
          <w:color w:val="C9943A"/>
          <w:spacing w:val="40"/>
          <w:sz w:val="17"/>
          <w:szCs w:val="17"/>
        </w:rPr>
        <w:t xml:space="preserve">§03</w:t>
      </w:r>
    </w:p>
    <w:p>
      <w:pPr>
        <w:pStyle w:val="Heading1"/>
        <w:spacing w:before="400" w:after="160"/>
      </w:pPr>
      <w:r>
        <w:rPr>
          <w:rFonts w:ascii="Arial" w:cs="Arial" w:eastAsia="Arial" w:hAnsi="Arial"/>
          <w:b/>
          <w:bCs/>
          <w:color w:val="1A2E4A"/>
          <w:sz w:val="40"/>
          <w:szCs w:val="40"/>
        </w:rPr>
        <w:t xml:space="preserve">Market Opportunity</w:t>
      </w:r>
    </w:p>
    <w:p>
      <w:pPr>
        <w:pBdr>
          <w:bottom w:val="single" w:color="0D7377" w:sz="6" w:space="1"/>
        </w:pBdr>
        <w:spacing w:before="200" w:after="200"/>
      </w:pPr>
    </w:p>
    <w:p>
      <w:pPr>
        <w:pStyle w:val="Heading2"/>
        <w:spacing w:before="300" w:after="120"/>
      </w:pPr>
      <w:r>
        <w:rPr>
          <w:rFonts w:ascii="Arial" w:cs="Arial" w:eastAsia="Arial" w:hAnsi="Arial"/>
          <w:b/>
          <w:bCs/>
          <w:color w:val="0D7377"/>
          <w:sz w:val="28"/>
          <w:szCs w:val="28"/>
        </w:rPr>
        <w:t xml:space="preserve">TAM / SAM / 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Level</w:t>
            </w:r>
          </w:p>
        </w:tc>
        <w:tc>
          <w:tcPr>
            <w:tcW w:type="dxa" w:w="20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Value</w:t>
            </w:r>
          </w:p>
        </w:tc>
        <w:tc>
          <w:tcPr>
            <w:tcW w:type="dxa" w:w="596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Basis</w:t>
            </w:r>
          </w:p>
        </w:tc>
      </w:tr>
      <w:tr>
        <w:tc>
          <w:tcPr>
            <w:tcW w:type="dxa" w:w="1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1A2E4A"/>
                <w:sz w:val="20"/>
                <w:szCs w:val="20"/>
              </w:rPr>
              <w:t xml:space="preserve">TAM</w:t>
            </w:r>
          </w:p>
        </w:tc>
        <w:tc>
          <w:tcPr>
            <w:tcW w:type="dxa" w:w="2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0D7377"/>
                <w:sz w:val="20"/>
                <w:szCs w:val="20"/>
              </w:rPr>
              <w:t xml:space="preserve">£820B</w:t>
            </w:r>
          </w:p>
        </w:tc>
        <w:tc>
          <w:tcPr>
            <w:tcW w:type="dxa" w:w="59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1.4B global households × £570 ARPU at full penetration across English-speaking markets.</w:t>
            </w:r>
          </w:p>
        </w:tc>
      </w:tr>
      <w:tr>
        <w:tc>
          <w:tcPr>
            <w:tcW w:type="dxa" w:w="1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1A2E4A"/>
                <w:sz w:val="20"/>
                <w:szCs w:val="20"/>
              </w:rPr>
              <w:t xml:space="preserve">SAM</w:t>
            </w:r>
          </w:p>
        </w:tc>
        <w:tc>
          <w:tcPr>
            <w:tcW w:type="dxa" w:w="2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0D7377"/>
                <w:sz w:val="20"/>
                <w:szCs w:val="20"/>
              </w:rPr>
              <w:t xml:space="preserve">£42B</w:t>
            </w:r>
          </w:p>
        </w:tc>
        <w:tc>
          <w:tcPr>
            <w:tcW w:type="dxa" w:w="59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74M English-speaking households in UK / AU / India / UAE with smartphones and bank accounts.</w:t>
            </w:r>
          </w:p>
        </w:tc>
      </w:tr>
      <w:tr>
        <w:tc>
          <w:tcPr>
            <w:tcW w:type="dxa" w:w="1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1A2E4A"/>
                <w:sz w:val="20"/>
                <w:szCs w:val="20"/>
              </w:rPr>
              <w:t xml:space="preserve">SOM (Yr 5)</w:t>
            </w:r>
          </w:p>
        </w:tc>
        <w:tc>
          <w:tcPr>
            <w:tcW w:type="dxa" w:w="2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C9943A"/>
                <w:sz w:val="20"/>
                <w:szCs w:val="20"/>
              </w:rPr>
              <w:t xml:space="preserve">£840M</w:t>
            </w:r>
          </w:p>
        </w:tc>
        <w:tc>
          <w:tcPr>
            <w:tcW w:type="dxa" w:w="59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380K UK households at £22 ARPU. Conservative. Built bottom-up from employer + school + organic channels.</w:t>
            </w:r>
          </w:p>
        </w:tc>
      </w:tr>
    </w:tbl>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Target Customer Segments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Segment</w:t>
            </w:r>
          </w:p>
        </w:tc>
        <w:tc>
          <w:tcPr>
            <w:tcW w:type="dxa" w:w="30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Primary Pain</w:t>
            </w:r>
          </w:p>
        </w:tc>
        <w:tc>
          <w:tcPr>
            <w:tcW w:type="dxa" w:w="396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Why FinFlow Wins</w:t>
            </w:r>
          </w:p>
        </w:tc>
      </w:tr>
      <w:tr>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Young Couples (26–34)</w:t>
            </w:r>
          </w:p>
        </w:tc>
        <w:tc>
          <w:tcPr>
            <w:tcW w:type="dxa" w:w="3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No shared visibility. Arguments about money.</w:t>
            </w:r>
          </w:p>
        </w:tc>
        <w:tc>
          <w:tcPr>
            <w:tcW w:type="dxa" w:w="39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Household dashboard is the only product built for them, not adapted for them.</w:t>
            </w:r>
          </w:p>
        </w:tc>
      </w:tr>
      <w:tr>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New Parents (28–38)</w:t>
            </w:r>
          </w:p>
        </w:tc>
        <w:tc>
          <w:tcPr>
            <w:tcW w:type="dxa" w:w="3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Income shock. No emergency fund. No plan.</w:t>
            </w:r>
          </w:p>
        </w:tc>
        <w:tc>
          <w:tcPr>
            <w:tcW w:type="dxa" w:w="39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Parent Kit: month-by-month cash flow projection for first year of parenthood.</w:t>
            </w:r>
          </w:p>
        </w:tc>
      </w:tr>
      <w:tr>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Single Mothers (25–45)</w:t>
            </w:r>
          </w:p>
        </w:tc>
        <w:tc>
          <w:tcPr>
            <w:tcW w:type="dxa" w:w="3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Single income, multiple dependents. High stress, zero advisory access.</w:t>
            </w:r>
          </w:p>
        </w:tc>
        <w:tc>
          <w:tcPr>
            <w:tcW w:type="dxa" w:w="39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Benefits eligibility checker surfaces unclaimed entitlements. Immediate ROI.</w:t>
            </w:r>
          </w:p>
        </w:tc>
      </w:tr>
      <w:tr>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Mid-Career Families (35–50)</w:t>
            </w:r>
          </w:p>
        </w:tc>
        <w:tc>
          <w:tcPr>
            <w:tcW w:type="dxa" w:w="3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Peak spending. Subscription creep. Mortgage stress.</w:t>
            </w:r>
          </w:p>
        </w:tc>
        <w:tc>
          <w:tcPr>
            <w:tcW w:type="dxa" w:w="39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Pulse Score improvement roadmap + subscription audit. Saves £87/month on day one.</w:t>
            </w:r>
          </w:p>
        </w:tc>
      </w:tr>
      <w:tr>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Immigrant Families</w:t>
            </w:r>
          </w:p>
        </w:tc>
        <w:tc>
          <w:tcPr>
            <w:tcW w:type="dxa" w:w="3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Unfamiliar systems, remittance obligations, trust gap with institutions.</w:t>
            </w:r>
          </w:p>
        </w:tc>
        <w:tc>
          <w:tcPr>
            <w:tcW w:type="dxa" w:w="39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Employer channel reaches this segment naturally. Consent-first model builds institutional trust.</w:t>
            </w:r>
          </w:p>
        </w:tc>
      </w:tr>
    </w:tbl>
    <w:p>
      <w:r>
        <w:br w:type="page"/>
      </w:r>
    </w:p>
    <w:p>
      <w:pPr>
        <w:spacing w:before="80" w:after="60"/>
      </w:pPr>
      <w:r>
        <w:rPr>
          <w:rFonts w:ascii="Arial" w:cs="Arial" w:eastAsia="Arial" w:hAnsi="Arial"/>
          <w:b/>
          <w:bCs/>
          <w:color w:val="C9943A"/>
          <w:spacing w:val="40"/>
          <w:sz w:val="17"/>
          <w:szCs w:val="17"/>
        </w:rPr>
        <w:t xml:space="preserve">§04</w:t>
      </w:r>
    </w:p>
    <w:p>
      <w:pPr>
        <w:pStyle w:val="Heading1"/>
        <w:spacing w:before="400" w:after="160"/>
      </w:pPr>
      <w:r>
        <w:rPr>
          <w:rFonts w:ascii="Arial" w:cs="Arial" w:eastAsia="Arial" w:hAnsi="Arial"/>
          <w:b/>
          <w:bCs/>
          <w:color w:val="1A2E4A"/>
          <w:sz w:val="40"/>
          <w:szCs w:val="40"/>
        </w:rPr>
        <w:t xml:space="preserve">Revenue Model</w:t>
      </w:r>
    </w:p>
    <w:p>
      <w:pPr>
        <w:pBdr>
          <w:bottom w:val="single" w:color="0D7377" w:sz="6" w:space="1"/>
        </w:pBdr>
        <w:spacing w:before="200" w:after="200"/>
      </w:pPr>
    </w:p>
    <w:p>
      <w:pPr>
        <w:spacing w:before="120" w:after="120"/>
        <w:jc w:val="left"/>
      </w:pPr>
      <w:r>
        <w:rPr>
          <w:rFonts w:ascii="Arial" w:cs="Arial" w:eastAsia="Arial" w:hAnsi="Arial"/>
          <w:b w:val="false"/>
          <w:bCs w:val="false"/>
          <w:i w:val="false"/>
          <w:iCs w:val="false"/>
          <w:color w:val="0E0E12"/>
          <w:sz w:val="23"/>
          <w:szCs w:val="23"/>
        </w:rPr>
        <w:t xml:space="preserve">Three revenue streams, sequenced by complexity. We do not launch all three simultaneously. We earn stream two from stream one's proof, and stream three from stream two's data.</w:t>
      </w:r>
    </w:p>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Stream 1 — Consumer Subscription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Tier</w:t>
            </w:r>
          </w:p>
        </w:tc>
        <w:tc>
          <w:tcPr>
            <w:tcW w:type="dxa" w:w="18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Price / mo</w:t>
            </w:r>
          </w:p>
        </w:tc>
        <w:tc>
          <w:tcPr>
            <w:tcW w:type="dxa" w:w="516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What They Get</w:t>
            </w:r>
          </w:p>
        </w:tc>
      </w:tr>
      <w:tr>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FinFlow Basic</w:t>
            </w:r>
          </w:p>
        </w:tc>
        <w:tc>
          <w:tcPr>
            <w:tcW w:type="dxa" w:w="18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4A5568"/>
                <w:sz w:val="20"/>
                <w:szCs w:val="20"/>
              </w:rPr>
              <w:t xml:space="preserve">Free</w:t>
            </w:r>
          </w:p>
        </w:tc>
        <w:tc>
          <w:tcPr>
            <w:tcW w:type="dxa" w:w="51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Spending visibility, one bank connection, 30-day bill calendar. Entry point, not the product.</w:t>
            </w:r>
          </w:p>
        </w:tc>
      </w:tr>
      <w:tr>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D7377"/>
                <w:sz w:val="20"/>
                <w:szCs w:val="20"/>
              </w:rPr>
              <w:t xml:space="preserve">FinFlow Household</w:t>
            </w:r>
          </w:p>
        </w:tc>
        <w:tc>
          <w:tcPr>
            <w:tcW w:type="dxa" w:w="18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0D7377"/>
                <w:sz w:val="20"/>
                <w:szCs w:val="20"/>
              </w:rPr>
              <w:t xml:space="preserve">£12 / mo</w:t>
            </w:r>
          </w:p>
        </w:tc>
        <w:tc>
          <w:tcPr>
            <w:tcW w:type="dxa" w:w="51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Full household dashboard, partner sync, all bank connections, Pulse Score, subscription audit.</w:t>
            </w:r>
          </w:p>
        </w:tc>
      </w:tr>
      <w:tr>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C9943A"/>
                <w:sz w:val="20"/>
                <w:szCs w:val="20"/>
              </w:rPr>
              <w:t xml:space="preserve">FinFlow Premium</w:t>
            </w:r>
          </w:p>
        </w:tc>
        <w:tc>
          <w:tcPr>
            <w:tcW w:type="dxa" w:w="18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C9943A"/>
                <w:sz w:val="20"/>
                <w:szCs w:val="20"/>
              </w:rPr>
              <w:t xml:space="preserve">£22 / mo</w:t>
            </w:r>
          </w:p>
        </w:tc>
        <w:tc>
          <w:tcPr>
            <w:tcW w:type="dxa" w:w="51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Everything in Household + FinFlow Junior, SMB Bridge, weekly AI insights, goal tracking.</w:t>
            </w:r>
          </w:p>
        </w:tc>
      </w:tr>
    </w:tbl>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Stream 2 — B2B Employer Channel (Month 6+)</w:t>
      </w:r>
    </w:p>
    <w:p>
      <w:pPr>
        <w:spacing w:before="120" w:after="120"/>
        <w:jc w:val="left"/>
      </w:pPr>
      <w:r>
        <w:rPr>
          <w:rFonts w:ascii="Arial" w:cs="Arial" w:eastAsia="Arial" w:hAnsi="Arial"/>
          <w:b w:val="false"/>
          <w:bCs w:val="false"/>
          <w:i w:val="false"/>
          <w:iCs w:val="false"/>
          <w:color w:val="0E0E12"/>
          <w:sz w:val="22"/>
          <w:szCs w:val="22"/>
        </w:rPr>
        <w:t xml:space="preserve">Employers pay £2,000–£5,000/year to offer FinFlow as a staff financial wellness benefit. One employer contract activates 200+ household subscriptions at £0 CAC. Four LOIs already signed at pre-seed stage.</w:t>
      </w:r>
    </w:p>
    <w:p>
      <w:pPr>
        <w:spacing w:before="80" w:after="80"/>
        <w:jc w:val="left"/>
      </w:pPr>
      <w:r>
        <w:rPr>
          <w:rFonts w:ascii="Arial" w:cs="Arial" w:eastAsia="Arial" w:hAnsi="Arial"/>
          <w:b w:val="false"/>
          <w:bCs w:val="false"/>
          <w:i w:val="false"/>
          <w:iCs w:val="false"/>
          <w:color w:val="0E0E12"/>
          <w:sz w:val="22"/>
          <w:szCs w:val="22"/>
        </w:rPr>
        <w:t xml:space="preserve"/>
      </w:r>
    </w:p>
    <w:p>
      <w:pPr>
        <w:pStyle w:val="ListParagraph"/>
        <w:numPr>
          <w:ilvl w:val="0"/>
          <w:numId w:val="2"/>
        </w:numPr>
        <w:spacing w:before="60" w:after="60"/>
      </w:pPr>
      <w:r>
        <w:rPr>
          <w:rFonts w:ascii="Arial" w:cs="Arial" w:eastAsia="Arial" w:hAnsi="Arial"/>
          <w:b/>
          <w:bCs/>
          <w:color w:val="0D7377"/>
          <w:sz w:val="21"/>
          <w:szCs w:val="21"/>
        </w:rPr>
        <w:t xml:space="preserve"/>
      </w:r>
      <w:r>
        <w:rPr>
          <w:rFonts w:ascii="Arial" w:cs="Arial" w:eastAsia="Arial" w:hAnsi="Arial"/>
          <w:color w:val="0E0E12"/>
          <w:sz w:val="21"/>
          <w:szCs w:val="21"/>
        </w:rPr>
        <w:t xml:space="preserve"> Employer portal: HR dashboard showing aggregate engagement (anonymised), team financial health score.</w:t>
      </w:r>
    </w:p>
    <w:p>
      <w:pPr>
        <w:pStyle w:val="ListParagraph"/>
        <w:numPr>
          <w:ilvl w:val="0"/>
          <w:numId w:val="2"/>
        </w:numPr>
        <w:spacing w:before="60" w:after="60"/>
      </w:pPr>
      <w:r>
        <w:rPr>
          <w:rFonts w:ascii="Arial" w:cs="Arial" w:eastAsia="Arial" w:hAnsi="Arial"/>
          <w:b/>
          <w:bCs/>
          <w:color w:val="0D7377"/>
          <w:sz w:val="21"/>
          <w:szCs w:val="21"/>
        </w:rPr>
        <w:t xml:space="preserve"/>
      </w:r>
      <w:r>
        <w:rPr>
          <w:rFonts w:ascii="Arial" w:cs="Arial" w:eastAsia="Arial" w:hAnsi="Arial"/>
          <w:color w:val="0E0E12"/>
          <w:sz w:val="21"/>
          <w:szCs w:val="21"/>
        </w:rPr>
        <w:t xml:space="preserve"> Billing via employer — employees access Household tier at no personal cost.</w:t>
      </w:r>
    </w:p>
    <w:p>
      <w:pPr>
        <w:pStyle w:val="ListParagraph"/>
        <w:numPr>
          <w:ilvl w:val="0"/>
          <w:numId w:val="2"/>
        </w:numPr>
        <w:spacing w:before="60" w:after="60"/>
      </w:pPr>
      <w:r>
        <w:rPr>
          <w:rFonts w:ascii="Arial" w:cs="Arial" w:eastAsia="Arial" w:hAnsi="Arial"/>
          <w:b/>
          <w:bCs/>
          <w:color w:val="0D7377"/>
          <w:sz w:val="21"/>
          <w:szCs w:val="21"/>
        </w:rPr>
        <w:t xml:space="preserve"/>
      </w:r>
      <w:r>
        <w:rPr>
          <w:rFonts w:ascii="Arial" w:cs="Arial" w:eastAsia="Arial" w:hAnsi="Arial"/>
          <w:color w:val="0E0E12"/>
          <w:sz w:val="21"/>
          <w:szCs w:val="21"/>
        </w:rPr>
        <w:t xml:space="preserve"> CAC for these households: £0. Blended CAC falls from £84 (direct) to £31 by Year 3 as employer volume grows.</w:t>
      </w:r>
    </w:p>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Stream 3 — Pulse Score B2B Licensing (Month 18+)</w:t>
      </w:r>
    </w:p>
    <w:p>
      <w:pPr>
        <w:spacing w:before="120" w:after="120"/>
        <w:jc w:val="left"/>
      </w:pPr>
      <w:r>
        <w:rPr>
          <w:rFonts w:ascii="Arial" w:cs="Arial" w:eastAsia="Arial" w:hAnsi="Arial"/>
          <w:b w:val="false"/>
          <w:bCs w:val="false"/>
          <w:i w:val="false"/>
          <w:iCs w:val="false"/>
          <w:color w:val="0E0E12"/>
          <w:sz w:val="22"/>
          <w:szCs w:val="22"/>
        </w:rPr>
        <w:t xml:space="preserve">This is the highest-margin, most defensible revenue stream. The Family Pulse Score — a 5-factor composite of household financial health — is licensed to banks and micro-lenders as an alternative credit signal for household lending decisions.</w:t>
      </w:r>
    </w:p>
    <w:p>
      <w:pPr>
        <w:spacing w:before="80" w:after="80"/>
        <w:jc w:val="left"/>
      </w:pPr>
      <w:r>
        <w:rPr>
          <w:rFonts w:ascii="Arial" w:cs="Arial" w:eastAsia="Arial" w:hAnsi="Arial"/>
          <w:b w:val="false"/>
          <w:bCs w:val="false"/>
          <w:i w:val="false"/>
          <w:iCs w:val="false"/>
          <w:color w:val="0E0E12"/>
          <w:sz w:val="22"/>
          <w:szCs w:val="22"/>
        </w:rPr>
        <w:t xml:space="preserve"/>
      </w:r>
    </w:p>
    <w:p>
      <w:pPr>
        <w:pStyle w:val="ListParagraph"/>
        <w:numPr>
          <w:ilvl w:val="0"/>
          <w:numId w:val="2"/>
        </w:numPr>
        <w:spacing w:before="60" w:after="60"/>
      </w:pPr>
      <w:r>
        <w:rPr>
          <w:rFonts w:ascii="Arial" w:cs="Arial" w:eastAsia="Arial" w:hAnsi="Arial"/>
          <w:b/>
          <w:bCs/>
          <w:color w:val="0D7377"/>
          <w:sz w:val="21"/>
          <w:szCs w:val="21"/>
        </w:rPr>
        <w:t xml:space="preserve"/>
      </w:r>
      <w:r>
        <w:rPr>
          <w:rFonts w:ascii="Arial" w:cs="Arial" w:eastAsia="Arial" w:hAnsi="Arial"/>
          <w:color w:val="0E0E12"/>
          <w:sz w:val="21"/>
          <w:szCs w:val="21"/>
        </w:rPr>
        <w:t xml:space="preserve"> £0.35 per query. Zero marginal cost per additional query — pure gross margin above infrastructure.</w:t>
      </w:r>
    </w:p>
    <w:p>
      <w:pPr>
        <w:pStyle w:val="ListParagraph"/>
        <w:numPr>
          <w:ilvl w:val="0"/>
          <w:numId w:val="2"/>
        </w:numPr>
        <w:spacing w:before="60" w:after="60"/>
      </w:pPr>
      <w:r>
        <w:rPr>
          <w:rFonts w:ascii="Arial" w:cs="Arial" w:eastAsia="Arial" w:hAnsi="Arial"/>
          <w:b/>
          <w:bCs/>
          <w:color w:val="0D7377"/>
          <w:sz w:val="21"/>
          <w:szCs w:val="21"/>
        </w:rPr>
        <w:t xml:space="preserve"/>
      </w:r>
      <w:r>
        <w:rPr>
          <w:rFonts w:ascii="Arial" w:cs="Arial" w:eastAsia="Arial" w:hAnsi="Arial"/>
          <w:color w:val="0E0E12"/>
          <w:sz w:val="21"/>
          <w:szCs w:val="21"/>
        </w:rPr>
        <w:t xml:space="preserve"> Banks use it to de-risk mortgage applications, personal loans, and household credit products.</w:t>
      </w:r>
    </w:p>
    <w:p>
      <w:pPr>
        <w:pStyle w:val="ListParagraph"/>
        <w:numPr>
          <w:ilvl w:val="0"/>
          <w:numId w:val="2"/>
        </w:numPr>
        <w:spacing w:before="60" w:after="60"/>
      </w:pPr>
      <w:r>
        <w:rPr>
          <w:rFonts w:ascii="Arial" w:cs="Arial" w:eastAsia="Arial" w:hAnsi="Arial"/>
          <w:b/>
          <w:bCs/>
          <w:color w:val="0D7377"/>
          <w:sz w:val="21"/>
          <w:szCs w:val="21"/>
        </w:rPr>
        <w:t xml:space="preserve"/>
      </w:r>
      <w:r>
        <w:rPr>
          <w:rFonts w:ascii="Arial" w:cs="Arial" w:eastAsia="Arial" w:hAnsi="Arial"/>
          <w:color w:val="0E0E12"/>
          <w:sz w:val="21"/>
          <w:szCs w:val="21"/>
        </w:rPr>
        <w:t xml:space="preserve"> Target Year 3: £1.8M ARR from licensing. Target Year 5: £14.2M ARR (30% of total).</w:t>
      </w:r>
    </w:p>
    <w:p>
      <w:pPr>
        <w:pStyle w:val="ListParagraph"/>
        <w:numPr>
          <w:ilvl w:val="0"/>
          <w:numId w:val="2"/>
        </w:numPr>
        <w:spacing w:before="60" w:after="60"/>
      </w:pPr>
      <w:r>
        <w:rPr>
          <w:rFonts w:ascii="Arial" w:cs="Arial" w:eastAsia="Arial" w:hAnsi="Arial"/>
          <w:b/>
          <w:bCs/>
          <w:color w:val="0D7377"/>
          <w:sz w:val="21"/>
          <w:szCs w:val="21"/>
        </w:rPr>
        <w:t xml:space="preserve"/>
      </w:r>
      <w:r>
        <w:rPr>
          <w:rFonts w:ascii="Arial" w:cs="Arial" w:eastAsia="Arial" w:hAnsi="Arial"/>
          <w:color w:val="0E0E12"/>
          <w:sz w:val="21"/>
          <w:szCs w:val="21"/>
        </w:rPr>
        <w:t xml:space="preserve"> Explainability built in via SHAP — regulators can audit every score. Required for bank adoption.</w:t>
      </w:r>
    </w:p>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5-Year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0"/>
        <w:gridCol w:w="1390"/>
        <w:gridCol w:w="1390"/>
        <w:gridCol w:w="1390"/>
        <w:gridCol w:w="1400"/>
      </w:tblGrid>
      <w:tr>
        <w:tc>
          <w:tcPr>
            <w:tcW w:type="dxa" w:w="24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Metric</w:t>
            </w:r>
          </w:p>
        </w:tc>
        <w:tc>
          <w:tcPr>
            <w:tcW w:type="dxa" w:w="139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Yr 1</w:t>
            </w:r>
          </w:p>
        </w:tc>
        <w:tc>
          <w:tcPr>
            <w:tcW w:type="dxa" w:w="139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Yr 2</w:t>
            </w:r>
          </w:p>
        </w:tc>
        <w:tc>
          <w:tcPr>
            <w:tcW w:type="dxa" w:w="139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Yr 3</w:t>
            </w:r>
          </w:p>
        </w:tc>
        <w:tc>
          <w:tcPr>
            <w:tcW w:type="dxa" w:w="139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Yr 4</w:t>
            </w:r>
          </w:p>
        </w:tc>
        <w:tc>
          <w:tcPr>
            <w:tcW w:type="dxa" w:w="14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Yr 5</w:t>
            </w:r>
          </w:p>
        </w:tc>
      </w:tr>
      <w:tr>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ARR</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£380K</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£1.8M</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£7.2M</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£18M</w:t>
            </w:r>
          </w:p>
        </w:tc>
        <w:tc>
          <w:tcPr>
            <w:tcW w:type="dxa" w:w="1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0D7377"/>
                <w:sz w:val="20"/>
                <w:szCs w:val="20"/>
              </w:rPr>
              <w:t xml:space="preserve">£47M</w:t>
            </w:r>
          </w:p>
        </w:tc>
      </w:tr>
      <w:tr>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Active Households</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1,440</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7,200</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27,000</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90,000</w:t>
            </w:r>
          </w:p>
        </w:tc>
        <w:tc>
          <w:tcPr>
            <w:tcW w:type="dxa" w:w="1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0D7377"/>
                <w:sz w:val="20"/>
                <w:szCs w:val="20"/>
              </w:rPr>
              <w:t xml:space="preserve">178,000</w:t>
            </w:r>
          </w:p>
        </w:tc>
      </w:tr>
      <w:tr>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Blended CAC</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£84</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£52</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£31</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£22</w:t>
            </w:r>
          </w:p>
        </w:tc>
        <w:tc>
          <w:tcPr>
            <w:tcW w:type="dxa" w:w="1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27AE60"/>
                <w:sz w:val="20"/>
                <w:szCs w:val="20"/>
              </w:rPr>
              <w:t xml:space="preserve">£18</w:t>
            </w:r>
          </w:p>
        </w:tc>
      </w:tr>
      <w:tr>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Gross Margin</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42%</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55%</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68%</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73%</w:t>
            </w:r>
          </w:p>
        </w:tc>
        <w:tc>
          <w:tcPr>
            <w:tcW w:type="dxa" w:w="1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27AE60"/>
                <w:sz w:val="20"/>
                <w:szCs w:val="20"/>
              </w:rPr>
              <w:t xml:space="preserve">76%</w:t>
            </w:r>
          </w:p>
        </w:tc>
      </w:tr>
      <w:tr>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NRR</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94%</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101%</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108%</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111%</w:t>
            </w:r>
          </w:p>
        </w:tc>
        <w:tc>
          <w:tcPr>
            <w:tcW w:type="dxa" w:w="1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27AE60"/>
                <w:sz w:val="20"/>
                <w:szCs w:val="20"/>
              </w:rPr>
              <w:t xml:space="preserve">114%</w:t>
            </w:r>
          </w:p>
        </w:tc>
      </w:tr>
      <w:tr>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EBITDA</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C0392B"/>
                <w:sz w:val="20"/>
                <w:szCs w:val="20"/>
              </w:rPr>
              <w:t xml:space="preserve">-£1.2M</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C0392B"/>
                <w:sz w:val="20"/>
                <w:szCs w:val="20"/>
              </w:rPr>
              <w:t xml:space="preserve">-£640K</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27AE60"/>
                <w:sz w:val="20"/>
                <w:szCs w:val="20"/>
              </w:rPr>
              <w:t xml:space="preserve">+£820K</w:t>
            </w:r>
          </w:p>
        </w:tc>
        <w:tc>
          <w:tcPr>
            <w:tcW w:type="dxa" w:w="139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27AE60"/>
                <w:sz w:val="20"/>
                <w:szCs w:val="20"/>
              </w:rPr>
              <w:t xml:space="preserve">+£5.4M</w:t>
            </w:r>
          </w:p>
        </w:tc>
        <w:tc>
          <w:tcPr>
            <w:tcW w:type="dxa" w:w="1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27AE60"/>
                <w:sz w:val="20"/>
                <w:szCs w:val="20"/>
              </w:rPr>
              <w:t xml:space="preserve">+£16.8M</w:t>
            </w:r>
          </w:p>
        </w:tc>
      </w:tr>
    </w:tbl>
    <w:p>
      <w:r>
        <w:br w:type="page"/>
      </w:r>
    </w:p>
    <w:p>
      <w:pPr>
        <w:spacing w:before="80" w:after="60"/>
      </w:pPr>
      <w:r>
        <w:rPr>
          <w:rFonts w:ascii="Arial" w:cs="Arial" w:eastAsia="Arial" w:hAnsi="Arial"/>
          <w:b/>
          <w:bCs/>
          <w:color w:val="C9943A"/>
          <w:spacing w:val="40"/>
          <w:sz w:val="17"/>
          <w:szCs w:val="17"/>
        </w:rPr>
        <w:t xml:space="preserve">§05</w:t>
      </w:r>
    </w:p>
    <w:p>
      <w:pPr>
        <w:pStyle w:val="Heading1"/>
        <w:spacing w:before="400" w:after="160"/>
      </w:pPr>
      <w:r>
        <w:rPr>
          <w:rFonts w:ascii="Arial" w:cs="Arial" w:eastAsia="Arial" w:hAnsi="Arial"/>
          <w:b/>
          <w:bCs/>
          <w:color w:val="1A2E4A"/>
          <w:sz w:val="40"/>
          <w:szCs w:val="40"/>
        </w:rPr>
        <w:t xml:space="preserve">Go-to-Market Strategy</w:t>
      </w:r>
    </w:p>
    <w:p>
      <w:pPr>
        <w:pBdr>
          <w:bottom w:val="single" w:color="0D7377" w:sz="6" w:space="1"/>
        </w:pBdr>
        <w:spacing w:before="200" w:after="200"/>
      </w:pPr>
    </w:p>
    <w:p>
      <w:pPr>
        <w:spacing w:before="120" w:after="120"/>
        <w:jc w:val="left"/>
      </w:pPr>
      <w:r>
        <w:rPr>
          <w:rFonts w:ascii="Arial" w:cs="Arial" w:eastAsia="Arial" w:hAnsi="Arial"/>
          <w:b w:val="false"/>
          <w:bCs w:val="false"/>
          <w:i w:val="false"/>
          <w:iCs w:val="false"/>
          <w:color w:val="0E0E12"/>
          <w:sz w:val="23"/>
          <w:szCs w:val="23"/>
        </w:rPr>
        <w:t xml:space="preserve">We launch in one city. We make it undeniable. Then we replicate. Geographic concentration creates network effects, media coverage, and community density that no distributed launch can match.</w:t>
      </w:r>
    </w:p>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Three Acquisition Channels — Zero CAC Advantage</w:t>
      </w:r>
    </w:p>
    <w:p>
      <w:pPr>
        <w:pStyle w:val="Heading3"/>
        <w:spacing w:before="220" w:after="100"/>
      </w:pPr>
      <w:r>
        <w:rPr>
          <w:rFonts w:ascii="Arial" w:cs="Arial" w:eastAsia="Arial" w:hAnsi="Arial"/>
          <w:b/>
          <w:bCs/>
          <w:color w:val="4A5568"/>
          <w:sz w:val="24"/>
          <w:szCs w:val="24"/>
        </w:rPr>
        <w:t xml:space="preserve">Channel 1: Employer Partnerships</w:t>
      </w:r>
    </w:p>
    <w:p>
      <w:pPr>
        <w:spacing w:before="120" w:after="120"/>
        <w:jc w:val="left"/>
      </w:pPr>
      <w:r>
        <w:rPr>
          <w:rFonts w:ascii="Arial" w:cs="Arial" w:eastAsia="Arial" w:hAnsi="Arial"/>
          <w:b w:val="false"/>
          <w:bCs w:val="false"/>
          <w:i w:val="false"/>
          <w:iCs w:val="false"/>
          <w:color w:val="0E0E12"/>
          <w:sz w:val="22"/>
          <w:szCs w:val="22"/>
        </w:rPr>
        <w:t xml:space="preserve">Employers pay. Employees get free access. HR directors are actively seeking financial wellness benefits post-COVID. We have four signed LOIs already. One employer contract = 200+ household accounts in 30 days at £0 incremental marketing spend.</w:t>
      </w:r>
    </w:p>
    <w:p>
      <w:pPr>
        <w:pStyle w:val="Heading3"/>
        <w:spacing w:before="220" w:after="100"/>
      </w:pPr>
      <w:r>
        <w:rPr>
          <w:rFonts w:ascii="Arial" w:cs="Arial" w:eastAsia="Arial" w:hAnsi="Arial"/>
          <w:b/>
          <w:bCs/>
          <w:color w:val="4A5568"/>
          <w:sz w:val="24"/>
          <w:szCs w:val="24"/>
        </w:rPr>
        <w:t xml:space="preserve">Channel 2: School Partnerships</w:t>
      </w:r>
    </w:p>
    <w:p>
      <w:pPr>
        <w:spacing w:before="120" w:after="120"/>
        <w:jc w:val="left"/>
      </w:pPr>
      <w:r>
        <w:rPr>
          <w:rFonts w:ascii="Arial" w:cs="Arial" w:eastAsia="Arial" w:hAnsi="Arial"/>
          <w:b w:val="false"/>
          <w:bCs w:val="false"/>
          <w:i w:val="false"/>
          <w:iCs w:val="false"/>
          <w:color w:val="0E0E12"/>
          <w:sz w:val="22"/>
          <w:szCs w:val="22"/>
        </w:rPr>
        <w:t xml:space="preserve">Schools adopt our financial literacy curriculum for free. In exchange, we have access to parent communications. A child who comes home excited about managing pocket money is the most credible marketing FinFlow will ever have. CAC: £0.</w:t>
      </w:r>
    </w:p>
    <w:p>
      <w:pPr>
        <w:pStyle w:val="Heading3"/>
        <w:spacing w:before="220" w:after="100"/>
      </w:pPr>
      <w:r>
        <w:rPr>
          <w:rFonts w:ascii="Arial" w:cs="Arial" w:eastAsia="Arial" w:hAnsi="Arial"/>
          <w:b/>
          <w:bCs/>
          <w:color w:val="4A5568"/>
          <w:sz w:val="24"/>
          <w:szCs w:val="24"/>
        </w:rPr>
        <w:t xml:space="preserve">Channel 3: Peer Referral</w:t>
      </w:r>
    </w:p>
    <w:p>
      <w:pPr>
        <w:spacing w:before="120" w:after="120"/>
        <w:jc w:val="left"/>
      </w:pPr>
      <w:r>
        <w:rPr>
          <w:rFonts w:ascii="Arial" w:cs="Arial" w:eastAsia="Arial" w:hAnsi="Arial"/>
          <w:b w:val="false"/>
          <w:bCs w:val="false"/>
          <w:i w:val="false"/>
          <w:iCs w:val="false"/>
          <w:color w:val="0E0E12"/>
          <w:sz w:val="22"/>
          <w:szCs w:val="22"/>
        </w:rPr>
        <w:t xml:space="preserve">Every household that saves £87/month on subscription waste tells someone. We formalise this with a referral mechanic: one free month for every household successfully invited. No paid social needed in Year 1 — organic referral drives City Zero to 500 families.</w:t>
      </w:r>
    </w:p>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Three-Wave Launch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3360"/>
      </w:tblGrid>
      <w:tr>
        <w:tc>
          <w:tcPr>
            <w:tcW w:type="dxa" w:w="14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Wave</w:t>
            </w:r>
          </w:p>
        </w:tc>
        <w:tc>
          <w:tcPr>
            <w:tcW w:type="dxa" w:w="16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Timeline</w:t>
            </w:r>
          </w:p>
        </w:tc>
        <w:tc>
          <w:tcPr>
            <w:tcW w:type="dxa" w:w="30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Focus</w:t>
            </w:r>
          </w:p>
        </w:tc>
        <w:tc>
          <w:tcPr>
            <w:tcW w:type="dxa" w:w="336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Milestone</w:t>
            </w:r>
          </w:p>
        </w:tc>
      </w:tr>
      <w:tr>
        <w:tc>
          <w:tcPr>
            <w:tcW w:type="dxa" w:w="1400"/>
            <w:tcBorders>
              <w:top w:val="single" w:color="CBD5E0" w:sz="1"/>
              <w:left w:val="single" w:color="CBD5E0" w:sz="1"/>
              <w:bottom w:val="single" w:color="CBD5E0" w:sz="1"/>
              <w:right w:val="single" w:color="CBD5E0" w:sz="1"/>
            </w:tcBorders>
            <w:shd w:fill="0D7377"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Wave 01</w:t>
            </w:r>
          </w:p>
        </w:tc>
        <w:tc>
          <w:tcPr>
            <w:tcW w:type="dxa" w:w="15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19"/>
                <w:szCs w:val="19"/>
              </w:rPr>
              <w:t xml:space="preserve">Months 1–6</w:t>
            </w:r>
          </w:p>
        </w:tc>
        <w:tc>
          <w:tcPr>
            <w:tcW w:type="dxa" w:w="35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E0E12"/>
                <w:sz w:val="20"/>
                <w:szCs w:val="20"/>
              </w:rPr>
              <w:t xml:space="preserve">City Zero. 500 families. One city. Word of mouth only. 3 schools + 5 employers. Seed 10 accountability circles digitally.</w:t>
            </w:r>
          </w:p>
        </w:tc>
        <w:tc>
          <w:tcPr>
            <w:tcW w:type="dxa" w:w="29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iCs/>
                <w:color w:val="C9943A"/>
                <w:sz w:val="19"/>
                <w:szCs w:val="19"/>
              </w:rPr>
              <w:t xml:space="preserve">D90 retention &gt;60%. NPS &gt;65. ARR: £180K.</w:t>
            </w:r>
          </w:p>
        </w:tc>
      </w:tr>
      <w:tr>
        <w:tc>
          <w:tcPr>
            <w:tcW w:type="dxa" w:w="1400"/>
            <w:tcBorders>
              <w:top w:val="single" w:color="CBD5E0" w:sz="1"/>
              <w:left w:val="single" w:color="CBD5E0" w:sz="1"/>
              <w:bottom w:val="single" w:color="CBD5E0" w:sz="1"/>
              <w:right w:val="single" w:color="CBD5E0" w:sz="1"/>
            </w:tcBorders>
            <w:shd w:fill="0D7377"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Wave 02</w:t>
            </w:r>
          </w:p>
        </w:tc>
        <w:tc>
          <w:tcPr>
            <w:tcW w:type="dxa" w:w="15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19"/>
                <w:szCs w:val="19"/>
              </w:rPr>
              <w:t xml:space="preserve">Months 6–18</w:t>
            </w:r>
          </w:p>
        </w:tc>
        <w:tc>
          <w:tcPr>
            <w:tcW w:type="dxa" w:w="35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E0E12"/>
                <w:sz w:val="20"/>
                <w:szCs w:val="20"/>
              </w:rPr>
              <w:t xml:space="preserve">Four cities. 5,000 families. Employer channel at scale: 50 companies. School partnerships: 25 across four cities. Referral program live. SMB module launches.</w:t>
            </w:r>
          </w:p>
        </w:tc>
        <w:tc>
          <w:tcPr>
            <w:tcW w:type="dxa" w:w="29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iCs/>
                <w:color w:val="C9943A"/>
                <w:sz w:val="19"/>
                <w:szCs w:val="19"/>
              </w:rPr>
              <w:t xml:space="preserve">ARR: £1.8M. Employer pipeline: 20 companies. Seed fundraise opens.</w:t>
            </w:r>
          </w:p>
        </w:tc>
      </w:tr>
      <w:tr>
        <w:tc>
          <w:tcPr>
            <w:tcW w:type="dxa" w:w="1400"/>
            <w:tcBorders>
              <w:top w:val="single" w:color="CBD5E0" w:sz="1"/>
              <w:left w:val="single" w:color="CBD5E0" w:sz="1"/>
              <w:bottom w:val="single" w:color="CBD5E0" w:sz="1"/>
              <w:right w:val="single" w:color="CBD5E0" w:sz="1"/>
            </w:tcBorders>
            <w:shd w:fill="0D7377"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Wave 03</w:t>
            </w:r>
          </w:p>
        </w:tc>
        <w:tc>
          <w:tcPr>
            <w:tcW w:type="dxa" w:w="15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19"/>
                <w:szCs w:val="19"/>
              </w:rPr>
              <w:t xml:space="preserve">Months 18–36</w:t>
            </w:r>
          </w:p>
        </w:tc>
        <w:tc>
          <w:tcPr>
            <w:tcW w:type="dxa" w:w="35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E0E12"/>
                <w:sz w:val="20"/>
                <w:szCs w:val="20"/>
              </w:rPr>
              <w:t xml:space="preserve">National. 50,000 families. Bank licensing deal signed. Government financial inclusion pilot. First international city scoped from organic demand signals.</w:t>
            </w:r>
          </w:p>
        </w:tc>
        <w:tc>
          <w:tcPr>
            <w:tcW w:type="dxa" w:w="29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iCs/>
                <w:color w:val="C9943A"/>
                <w:sz w:val="19"/>
                <w:szCs w:val="19"/>
              </w:rPr>
              <w:t xml:space="preserve">ARR: £12M. Pulse Score licensing: £500K. Series A data package complete.</w:t>
            </w:r>
          </w:p>
        </w:tc>
      </w:tr>
    </w:tbl>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Onboarding: First Win in 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Day</w:t>
            </w:r>
          </w:p>
        </w:tc>
        <w:tc>
          <w:tcPr>
            <w:tcW w:type="dxa" w:w="18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Event</w:t>
            </w:r>
          </w:p>
        </w:tc>
        <w:tc>
          <w:tcPr>
            <w:tcW w:type="dxa" w:w="636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Design Intent</w:t>
            </w:r>
          </w:p>
        </w:tc>
      </w:tr>
      <w:tr>
        <w:tc>
          <w:tcPr>
            <w:tcW w:type="dxa" w:w="1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left"/>
            </w:pPr>
            <w:r>
              <w:rPr>
                <w:rFonts w:ascii="Arial" w:cs="Arial" w:eastAsia="Arial" w:hAnsi="Arial"/>
                <w:b/>
                <w:bCs/>
                <w:i w:val="false"/>
                <w:iCs w:val="false"/>
                <w:color w:val="0D7377"/>
                <w:sz w:val="20"/>
                <w:szCs w:val="20"/>
              </w:rPr>
              <w:t xml:space="preserve">Day 0</w:t>
            </w:r>
          </w:p>
        </w:tc>
        <w:tc>
          <w:tcPr>
            <w:tcW w:type="dxa" w:w="18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Family Profile</w:t>
            </w:r>
          </w:p>
        </w:tc>
        <w:tc>
          <w:tcPr>
            <w:tcW w:type="dxa" w:w="6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7 questions in 8 minutes. Conversational, not clinical. Routes family to right starter kit. No bank connection required yet.</w:t>
            </w:r>
          </w:p>
        </w:tc>
      </w:tr>
      <w:tr>
        <w:tc>
          <w:tcPr>
            <w:tcW w:type="dxa" w:w="1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left"/>
            </w:pPr>
            <w:r>
              <w:rPr>
                <w:rFonts w:ascii="Arial" w:cs="Arial" w:eastAsia="Arial" w:hAnsi="Arial"/>
                <w:b/>
                <w:bCs/>
                <w:i w:val="false"/>
                <w:iCs w:val="false"/>
                <w:color w:val="0D7377"/>
                <w:sz w:val="20"/>
                <w:szCs w:val="20"/>
              </w:rPr>
              <w:t xml:space="preserve">Day 1–2</w:t>
            </w:r>
          </w:p>
        </w:tc>
        <w:tc>
          <w:tcPr>
            <w:tcW w:type="dxa" w:w="18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One Account Connected</w:t>
            </w:r>
          </w:p>
        </w:tc>
        <w:tc>
          <w:tcPr>
            <w:tcW w:type="dxa" w:w="6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We ask for one bank — the primary account. Read-only. Manual entry fallback for anxious users.</w:t>
            </w:r>
          </w:p>
        </w:tc>
      </w:tr>
      <w:tr>
        <w:tc>
          <w:tcPr>
            <w:tcW w:type="dxa" w:w="1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left"/>
            </w:pPr>
            <w:r>
              <w:rPr>
                <w:rFonts w:ascii="Arial" w:cs="Arial" w:eastAsia="Arial" w:hAnsi="Arial"/>
                <w:b/>
                <w:bCs/>
                <w:i w:val="false"/>
                <w:iCs w:val="false"/>
                <w:color w:val="0D7377"/>
                <w:sz w:val="20"/>
                <w:szCs w:val="20"/>
              </w:rPr>
              <w:t xml:space="preserve">Day 3</w:t>
            </w:r>
          </w:p>
        </w:tc>
        <w:tc>
          <w:tcPr>
            <w:tcW w:type="dxa" w:w="18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The Reveal</w:t>
            </w:r>
          </w:p>
        </w:tc>
        <w:tc>
          <w:tcPr>
            <w:tcW w:type="dxa" w:w="6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"You spent £340 on subscriptions last month. £87 of that was services unused in 60 days. Want to see them?" — The moment that earns trust.</w:t>
            </w:r>
          </w:p>
        </w:tc>
      </w:tr>
      <w:tr>
        <w:tc>
          <w:tcPr>
            <w:tcW w:type="dxa" w:w="1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left"/>
            </w:pPr>
            <w:r>
              <w:rPr>
                <w:rFonts w:ascii="Arial" w:cs="Arial" w:eastAsia="Arial" w:hAnsi="Arial"/>
                <w:b/>
                <w:bCs/>
                <w:i w:val="false"/>
                <w:iCs w:val="false"/>
                <w:color w:val="0D7377"/>
                <w:sz w:val="20"/>
                <w:szCs w:val="20"/>
              </w:rPr>
              <w:t xml:space="preserve">Day 5</w:t>
            </w:r>
          </w:p>
        </w:tc>
        <w:tc>
          <w:tcPr>
            <w:tcW w:type="dxa" w:w="18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Partner Invite</w:t>
            </w:r>
          </w:p>
        </w:tc>
        <w:tc>
          <w:tcPr>
            <w:tcW w:type="dxa" w:w="6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Sent at peak trust — after the Day 3 reveal. Specific data hook: "You save 34% more together." 2-tap flow.</w:t>
            </w:r>
          </w:p>
        </w:tc>
      </w:tr>
      <w:tr>
        <w:tc>
          <w:tcPr>
            <w:tcW w:type="dxa" w:w="1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left"/>
            </w:pPr>
            <w:r>
              <w:rPr>
                <w:rFonts w:ascii="Arial" w:cs="Arial" w:eastAsia="Arial" w:hAnsi="Arial"/>
                <w:b/>
                <w:bCs/>
                <w:i w:val="false"/>
                <w:iCs w:val="false"/>
                <w:color w:val="0D7377"/>
                <w:sz w:val="20"/>
                <w:szCs w:val="20"/>
              </w:rPr>
              <w:t xml:space="preserve">Day 7</w:t>
            </w:r>
          </w:p>
        </w:tc>
        <w:tc>
          <w:tcPr>
            <w:tcW w:type="dxa" w:w="18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Weekly Review</w:t>
            </w:r>
          </w:p>
        </w:tc>
        <w:tc>
          <w:tcPr>
            <w:tcW w:type="dxa" w:w="6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10-minute guided session: wins, one worry, one action. The Sunday ritual established in Week 1.</w:t>
            </w:r>
          </w:p>
        </w:tc>
      </w:tr>
      <w:tr>
        <w:tc>
          <w:tcPr>
            <w:tcW w:type="dxa" w:w="1200"/>
            <w:tcBorders>
              <w:top w:val="single" w:color="CBD5E0" w:sz="1"/>
              <w:left w:val="single" w:color="CBD5E0" w:sz="1"/>
              <w:bottom w:val="single" w:color="CBD5E0" w:sz="1"/>
              <w:right w:val="single" w:color="CBD5E0" w:sz="1"/>
            </w:tcBorders>
            <w:shd w:fill="F0FBF8" w:val="clear"/>
            <w:tcMar>
              <w:top w:type="dxa" w:w="100"/>
              <w:left w:type="dxa" w:w="140"/>
              <w:bottom w:type="dxa" w:w="100"/>
              <w:right w:type="dxa" w:w="140"/>
            </w:tcMar>
            <w:vAlign w:val="top"/>
          </w:tcPr>
          <w:p>
            <w:pPr>
              <w:jc w:val="left"/>
            </w:pPr>
            <w:r>
              <w:rPr>
                <w:rFonts w:ascii="Arial" w:cs="Arial" w:eastAsia="Arial" w:hAnsi="Arial"/>
                <w:b/>
                <w:bCs/>
                <w:i w:val="false"/>
                <w:iCs w:val="false"/>
                <w:color w:val="0D7377"/>
                <w:sz w:val="20"/>
                <w:szCs w:val="20"/>
              </w:rPr>
              <w:t xml:space="preserve">Day 14</w:t>
            </w:r>
          </w:p>
        </w:tc>
        <w:tc>
          <w:tcPr>
            <w:tcW w:type="dxa" w:w="18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Accountability Circle</w:t>
            </w:r>
          </w:p>
        </w:tc>
        <w:tc>
          <w:tcPr>
            <w:tcW w:type="dxa" w:w="6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Digital circles of 8 families. Matched by income tier and life stage. Facilitated via in-app group — no coach dependency.</w:t>
            </w:r>
          </w:p>
        </w:tc>
      </w:tr>
    </w:tbl>
    <w:p>
      <w:r>
        <w:br w:type="page"/>
      </w:r>
    </w:p>
    <w:p>
      <w:pPr>
        <w:spacing w:before="80" w:after="60"/>
      </w:pPr>
      <w:r>
        <w:rPr>
          <w:rFonts w:ascii="Arial" w:cs="Arial" w:eastAsia="Arial" w:hAnsi="Arial"/>
          <w:b/>
          <w:bCs/>
          <w:color w:val="C9943A"/>
          <w:spacing w:val="40"/>
          <w:sz w:val="17"/>
          <w:szCs w:val="17"/>
        </w:rPr>
        <w:t xml:space="preserve">§06</w:t>
      </w:r>
    </w:p>
    <w:p>
      <w:pPr>
        <w:pStyle w:val="Heading1"/>
        <w:spacing w:before="400" w:after="160"/>
      </w:pPr>
      <w:r>
        <w:rPr>
          <w:rFonts w:ascii="Arial" w:cs="Arial" w:eastAsia="Arial" w:hAnsi="Arial"/>
          <w:b/>
          <w:bCs/>
          <w:color w:val="1A2E4A"/>
          <w:sz w:val="40"/>
          <w:szCs w:val="40"/>
        </w:rPr>
        <w:t xml:space="preserve">Team &amp; Hiring Plan</w:t>
      </w:r>
    </w:p>
    <w:p>
      <w:pPr>
        <w:pBdr>
          <w:bottom w:val="single" w:color="0D7377" w:sz="6" w:space="1"/>
        </w:pBdr>
        <w:spacing w:before="200" w:after="200"/>
      </w:pPr>
    </w:p>
    <w:p>
      <w:pPr>
        <w:spacing w:before="120" w:after="120"/>
        <w:jc w:val="left"/>
      </w:pPr>
      <w:r>
        <w:rPr>
          <w:rFonts w:ascii="Arial" w:cs="Arial" w:eastAsia="Arial" w:hAnsi="Arial"/>
          <w:b w:val="false"/>
          <w:bCs w:val="false"/>
          <w:i w:val="false"/>
          <w:iCs w:val="false"/>
          <w:color w:val="0E0E12"/>
          <w:sz w:val="23"/>
          <w:szCs w:val="23"/>
        </w:rPr>
        <w:t xml:space="preserve">Four people at pre-seed. We resist the instinct to hire ahead of proof. Every hire before City Zero data is a bet on the wrong variable. The right hire at the wrong moment costs more than not hiring at all.</w:t>
      </w:r>
    </w:p>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Pre-Seed Team (Months 0–18 · £750K · 4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Role</w:t>
            </w:r>
          </w:p>
        </w:tc>
        <w:tc>
          <w:tcPr>
            <w:tcW w:type="dxa" w:w="16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Type</w:t>
            </w:r>
          </w:p>
        </w:tc>
        <w:tc>
          <w:tcPr>
            <w:tcW w:type="dxa" w:w="20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Cost</w:t>
            </w:r>
          </w:p>
        </w:tc>
        <w:tc>
          <w:tcPr>
            <w:tcW w:type="dxa" w:w="376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Critical Contribution</w:t>
            </w:r>
          </w:p>
        </w:tc>
      </w:tr>
      <w:tr>
        <w:tc>
          <w:tcPr>
            <w:tcW w:type="dxa" w:w="2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CEO / Co-Founder</w:t>
            </w:r>
          </w:p>
        </w:tc>
        <w:tc>
          <w:tcPr>
            <w:tcW w:type="dxa" w:w="16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Full-time</w:t>
            </w:r>
          </w:p>
        </w:tc>
        <w:tc>
          <w:tcPr>
            <w:tcW w:type="dxa" w:w="2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£18K (founder rate)</w:t>
            </w:r>
          </w:p>
        </w:tc>
        <w:tc>
          <w:tcPr>
            <w:tcW w:type="dxa" w:w="37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GTM, employer partnerships, fundraising. Prior fintech or consumer brand essential.</w:t>
            </w:r>
          </w:p>
        </w:tc>
      </w:tr>
      <w:tr>
        <w:tc>
          <w:tcPr>
            <w:tcW w:type="dxa" w:w="2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CTO / Co-Founder</w:t>
            </w:r>
          </w:p>
        </w:tc>
        <w:tc>
          <w:tcPr>
            <w:tcW w:type="dxa" w:w="16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Full-time</w:t>
            </w:r>
          </w:p>
        </w:tc>
        <w:tc>
          <w:tcPr>
            <w:tcW w:type="dxa" w:w="2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£18K (founder rate)</w:t>
            </w:r>
          </w:p>
        </w:tc>
        <w:tc>
          <w:tcPr>
            <w:tcW w:type="dxa" w:w="37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Bank API, mobile app, AI pipeline. Must have shipped consumer product before.</w:t>
            </w:r>
          </w:p>
        </w:tc>
      </w:tr>
      <w:tr>
        <w:tc>
          <w:tcPr>
            <w:tcW w:type="dxa" w:w="2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Lead Product Designer</w:t>
            </w:r>
          </w:p>
        </w:tc>
        <w:tc>
          <w:tcPr>
            <w:tcW w:type="dxa" w:w="16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Contractor</w:t>
            </w:r>
          </w:p>
        </w:tc>
        <w:tc>
          <w:tcPr>
            <w:tcW w:type="dxa" w:w="2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£83K/yr (3d/wk)</w:t>
            </w:r>
          </w:p>
        </w:tc>
        <w:tc>
          <w:tcPr>
            <w:tcW w:type="dxa" w:w="37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UI/UX, onboarding flow, behaviour design (BJ Fogg Tiny Habits framework).</w:t>
            </w:r>
          </w:p>
        </w:tc>
      </w:tr>
      <w:tr>
        <w:tc>
          <w:tcPr>
            <w:tcW w:type="dxa" w:w="2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Full-Stack Engineer</w:t>
            </w:r>
          </w:p>
        </w:tc>
        <w:tc>
          <w:tcPr>
            <w:tcW w:type="dxa" w:w="16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Contractor</w:t>
            </w:r>
          </w:p>
        </w:tc>
        <w:tc>
          <w:tcPr>
            <w:tcW w:type="dxa" w:w="2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£101K/yr (4d/wk)</w:t>
            </w:r>
          </w:p>
        </w:tc>
        <w:tc>
          <w:tcPr>
            <w:tcW w:type="dxa" w:w="37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React Native, Node.js, Open Banking APIs. Pairs with CTO. MVP in 16 weeks.</w:t>
            </w:r>
          </w:p>
        </w:tc>
      </w:tr>
    </w:tbl>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Seed Hires (Months 18–36 · £4M · +8 People)</w:t>
      </w:r>
    </w:p>
    <w:p>
      <w:pPr>
        <w:pStyle w:val="ListParagraph"/>
        <w:numPr>
          <w:ilvl w:val="0"/>
          <w:numId w:val="2"/>
        </w:numPr>
        <w:spacing w:before="60" w:after="60"/>
      </w:pPr>
      <w:r>
        <w:rPr>
          <w:rFonts w:ascii="Arial" w:cs="Arial" w:eastAsia="Arial" w:hAnsi="Arial"/>
          <w:b/>
          <w:bCs/>
          <w:color w:val="0D7377"/>
          <w:sz w:val="21"/>
          <w:szCs w:val="21"/>
        </w:rPr>
        <w:t xml:space="preserve"/>
      </w:r>
      <w:r>
        <w:rPr>
          <w:rFonts w:ascii="Arial" w:cs="Arial" w:eastAsia="Arial" w:hAnsi="Arial"/>
          <w:color w:val="0E0E12"/>
          <w:sz w:val="21"/>
          <w:szCs w:val="21"/>
        </w:rPr>
        <w:t xml:space="preserve"> Head of Product — £75K. Takes roadmap ownership from CTO. Must have shipped B2C subscription product with retention mechanics.</w:t>
      </w:r>
    </w:p>
    <w:p>
      <w:pPr>
        <w:pStyle w:val="ListParagraph"/>
        <w:numPr>
          <w:ilvl w:val="0"/>
          <w:numId w:val="2"/>
        </w:numPr>
        <w:spacing w:before="60" w:after="60"/>
      </w:pPr>
      <w:r>
        <w:rPr>
          <w:rFonts w:ascii="Arial" w:cs="Arial" w:eastAsia="Arial" w:hAnsi="Arial"/>
          <w:b/>
          <w:bCs/>
          <w:color w:val="0D7377"/>
          <w:sz w:val="21"/>
          <w:szCs w:val="21"/>
        </w:rPr>
        <w:t xml:space="preserve"/>
      </w:r>
      <w:r>
        <w:rPr>
          <w:rFonts w:ascii="Arial" w:cs="Arial" w:eastAsia="Arial" w:hAnsi="Arial"/>
          <w:color w:val="0E0E12"/>
          <w:sz w:val="21"/>
          <w:szCs w:val="21"/>
        </w:rPr>
        <w:t xml:space="preserve"> Head of Partnerships (B2B) — £70K + commission. Converts employer LOIs to contracts. Owns school channel.</w:t>
      </w:r>
    </w:p>
    <w:p>
      <w:pPr>
        <w:pStyle w:val="ListParagraph"/>
        <w:numPr>
          <w:ilvl w:val="0"/>
          <w:numId w:val="2"/>
        </w:numPr>
        <w:spacing w:before="60" w:after="60"/>
      </w:pPr>
      <w:r>
        <w:rPr>
          <w:rFonts w:ascii="Arial" w:cs="Arial" w:eastAsia="Arial" w:hAnsi="Arial"/>
          <w:b/>
          <w:bCs/>
          <w:color w:val="0D7377"/>
          <w:sz w:val="21"/>
          <w:szCs w:val="21"/>
        </w:rPr>
        <w:t xml:space="preserve"/>
      </w:r>
      <w:r>
        <w:rPr>
          <w:rFonts w:ascii="Arial" w:cs="Arial" w:eastAsia="Arial" w:hAnsi="Arial"/>
          <w:color w:val="0E0E12"/>
          <w:sz w:val="21"/>
          <w:szCs w:val="21"/>
        </w:rPr>
        <w:t xml:space="preserve"> Data Scientist / ML Engineer — £85K. Builds and validates Pulse Score to bank-grade standard (SHAP explainability required).</w:t>
      </w:r>
    </w:p>
    <w:p>
      <w:pPr>
        <w:pStyle w:val="ListParagraph"/>
        <w:numPr>
          <w:ilvl w:val="0"/>
          <w:numId w:val="2"/>
        </w:numPr>
        <w:spacing w:before="60" w:after="60"/>
      </w:pPr>
      <w:r>
        <w:rPr>
          <w:rFonts w:ascii="Arial" w:cs="Arial" w:eastAsia="Arial" w:hAnsi="Arial"/>
          <w:b/>
          <w:bCs/>
          <w:color w:val="0D7377"/>
          <w:sz w:val="21"/>
          <w:szCs w:val="21"/>
        </w:rPr>
        <w:t xml:space="preserve"/>
      </w:r>
      <w:r>
        <w:rPr>
          <w:rFonts w:ascii="Arial" w:cs="Arial" w:eastAsia="Arial" w:hAnsi="Arial"/>
          <w:color w:val="0E0E12"/>
          <w:sz w:val="21"/>
          <w:szCs w:val="21"/>
        </w:rPr>
        <w:t xml:space="preserve"> 2× Senior Engineers — £80K each. Product velocity for Series A milestone delivery.</w:t>
      </w:r>
    </w:p>
    <w:p>
      <w:pPr>
        <w:pStyle w:val="ListParagraph"/>
        <w:numPr>
          <w:ilvl w:val="0"/>
          <w:numId w:val="2"/>
        </w:numPr>
        <w:spacing w:before="60" w:after="60"/>
      </w:pPr>
      <w:r>
        <w:rPr>
          <w:rFonts w:ascii="Arial" w:cs="Arial" w:eastAsia="Arial" w:hAnsi="Arial"/>
          <w:b/>
          <w:bCs/>
          <w:color w:val="0D7377"/>
          <w:sz w:val="21"/>
          <w:szCs w:val="21"/>
        </w:rPr>
        <w:t xml:space="preserve"/>
      </w:r>
      <w:r>
        <w:rPr>
          <w:rFonts w:ascii="Arial" w:cs="Arial" w:eastAsia="Arial" w:hAnsi="Arial"/>
          <w:color w:val="0E0E12"/>
          <w:sz w:val="21"/>
          <w:szCs w:val="21"/>
        </w:rPr>
        <w:t xml:space="preserve"> 3× Customer Success — £45K each. Retention, onboarding support, circle facilitation.</w:t>
      </w:r>
    </w:p>
    <w:p>
      <w:pPr>
        <w:spacing w:before="80" w:after="80"/>
        <w:jc w:val="left"/>
      </w:pPr>
      <w:r>
        <w:rPr>
          <w:rFonts w:ascii="Arial" w:cs="Arial" w:eastAsia="Arial" w:hAnsi="Arial"/>
          <w:b w:val="false"/>
          <w:bCs w:val="false"/>
          <w:i w:val="false"/>
          <w:iCs w:val="false"/>
          <w:color w:val="0E0E1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8"/>
              <w:left w:val="none" w:color="FFFFFF" w:sz="0"/>
              <w:bottom w:val="single" w:color="0D7377" w:sz="8"/>
              <w:right w:val="none" w:color="FFFFFF" w:sz="0"/>
            </w:tcBorders>
            <w:shd w:fill="EBF8F8" w:val="clear"/>
            <w:tcMar>
              <w:top w:type="dxa" w:w="200"/>
              <w:left w:type="dxa" w:w="300"/>
              <w:bottom w:type="dxa" w:w="200"/>
              <w:right w:type="dxa" w:w="300"/>
            </w:tcMar>
          </w:tcPr>
          <w:p>
            <w:pPr>
              <w:jc w:val="center"/>
            </w:pPr>
            <w:r>
              <w:rPr>
                <w:rFonts w:ascii="Arial" w:cs="Arial" w:eastAsia="Arial" w:hAnsi="Arial"/>
                <w:b/>
                <w:bCs/>
                <w:i/>
                <w:iCs/>
                <w:color w:val="0D7377"/>
                <w:sz w:val="26"/>
                <w:szCs w:val="26"/>
              </w:rPr>
              <w:t xml:space="preserve">"We do not hire a VP Sales before we know who the buyer is. We do not hire a coach network before we know if digital circles retain without them."</w:t>
            </w:r>
          </w:p>
          <w:p>
            <w:pPr>
              <w:spacing w:before="80"/>
              <w:jc w:val="center"/>
            </w:pPr>
            <w:r>
              <w:rPr>
                <w:rFonts w:ascii="Arial" w:cs="Arial" w:eastAsia="Arial" w:hAnsi="Arial"/>
                <w:color w:val="4A5568"/>
                <w:sz w:val="19"/>
                <w:szCs w:val="19"/>
              </w:rPr>
              <w:t xml:space="preserve">— Hiring Principle v2.0</w:t>
            </w:r>
          </w:p>
        </w:tc>
      </w:tr>
    </w:tbl>
    <w:p>
      <w:r>
        <w:br w:type="page"/>
      </w:r>
    </w:p>
    <w:p>
      <w:pPr>
        <w:spacing w:before="80" w:after="60"/>
      </w:pPr>
      <w:r>
        <w:rPr>
          <w:rFonts w:ascii="Arial" w:cs="Arial" w:eastAsia="Arial" w:hAnsi="Arial"/>
          <w:b/>
          <w:bCs/>
          <w:color w:val="C9943A"/>
          <w:spacing w:val="40"/>
          <w:sz w:val="17"/>
          <w:szCs w:val="17"/>
        </w:rPr>
        <w:t xml:space="preserve">§07</w:t>
      </w:r>
    </w:p>
    <w:p>
      <w:pPr>
        <w:pStyle w:val="Heading1"/>
        <w:spacing w:before="400" w:after="160"/>
      </w:pPr>
      <w:r>
        <w:rPr>
          <w:rFonts w:ascii="Arial" w:cs="Arial" w:eastAsia="Arial" w:hAnsi="Arial"/>
          <w:b/>
          <w:bCs/>
          <w:color w:val="1A2E4A"/>
          <w:sz w:val="40"/>
          <w:szCs w:val="40"/>
        </w:rPr>
        <w:t xml:space="preserve">Competitive Moat</w:t>
      </w:r>
    </w:p>
    <w:p>
      <w:pPr>
        <w:pBdr>
          <w:bottom w:val="single" w:color="0D7377" w:sz="6" w:space="1"/>
        </w:pBdr>
        <w:spacing w:before="200" w:after="200"/>
      </w:pPr>
    </w:p>
    <w:p>
      <w:pPr>
        <w:spacing w:before="120" w:after="120"/>
        <w:jc w:val="left"/>
      </w:pPr>
      <w:r>
        <w:rPr>
          <w:rFonts w:ascii="Arial" w:cs="Arial" w:eastAsia="Arial" w:hAnsi="Arial"/>
          <w:b/>
          <w:bCs/>
          <w:i w:val="false"/>
          <w:iCs w:val="false"/>
          <w:color w:val="0E0E12"/>
          <w:sz w:val="23"/>
          <w:szCs w:val="23"/>
        </w:rPr>
        <w:t xml:space="preserve">The investor was right to push back on asserted moats. We now name the two that are genuinely defensible — and stop claiming the rest until they are earned.</w:t>
      </w:r>
    </w:p>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Moat 1: The Pulse Score Data Asset (Primary)</w:t>
      </w:r>
    </w:p>
    <w:p>
      <w:pPr>
        <w:spacing w:before="120" w:after="120"/>
        <w:jc w:val="left"/>
      </w:pPr>
      <w:r>
        <w:rPr>
          <w:rFonts w:ascii="Arial" w:cs="Arial" w:eastAsia="Arial" w:hAnsi="Arial"/>
          <w:b w:val="false"/>
          <w:bCs w:val="false"/>
          <w:i w:val="false"/>
          <w:iCs w:val="false"/>
          <w:color w:val="0E0E12"/>
          <w:sz w:val="22"/>
          <w:szCs w:val="22"/>
        </w:rPr>
        <w:t xml:space="preserve">Every household that uses FinFlow for 12 months contributes time-series financial behaviour data that improves the Pulse Score model. The model cannot be replicated by a new entrant without years of consented household data. Banks that integrate the Pulse Score into underwriting become structurally dependent on FinFlow's data quality — and have every incentive to deepen the relationship rather than switch.</w:t>
      </w:r>
    </w:p>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Moat 2: The Employer + School Channel (Secondary)</w:t>
      </w:r>
    </w:p>
    <w:p>
      <w:pPr>
        <w:spacing w:before="120" w:after="120"/>
        <w:jc w:val="left"/>
      </w:pPr>
      <w:r>
        <w:rPr>
          <w:rFonts w:ascii="Arial" w:cs="Arial" w:eastAsia="Arial" w:hAnsi="Arial"/>
          <w:b w:val="false"/>
          <w:bCs w:val="false"/>
          <w:i w:val="false"/>
          <w:iCs w:val="false"/>
          <w:color w:val="0E0E12"/>
          <w:sz w:val="22"/>
          <w:szCs w:val="22"/>
        </w:rPr>
        <w:t xml:space="preserve">Employer and school partnerships take 3–5 years of relationship capital to build at scale. A competitor can copy the product in 12 months. They cannot copy our signed agreements, our track record with HR directors, or our presence inside 150 schools. These channels are slow to build and fast to defend once established.</w:t>
      </w:r>
    </w:p>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What We No Longer Claim as a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Claimed Before</w:t>
            </w:r>
          </w:p>
        </w:tc>
        <w:tc>
          <w:tcPr>
            <w:tcW w:type="dxa" w:w="636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Honest Assessment</w:t>
            </w:r>
          </w:p>
        </w:tc>
      </w:tr>
      <w:tr>
        <w:tc>
          <w:tcPr>
            <w:tcW w:type="dxa" w:w="3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C0392B"/>
                <w:sz w:val="20"/>
                <w:szCs w:val="20"/>
              </w:rPr>
              <w:t xml:space="preserve">FFC™ Certification Network</w:t>
            </w:r>
          </w:p>
        </w:tc>
        <w:tc>
          <w:tcPr>
            <w:tcW w:type="dxa" w:w="6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Without the certification program, this moat does not exist in v2.0. Removed.</w:t>
            </w:r>
          </w:p>
        </w:tc>
      </w:tr>
      <w:tr>
        <w:tc>
          <w:tcPr>
            <w:tcW w:type="dxa" w:w="3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C0392B"/>
                <w:sz w:val="20"/>
                <w:szCs w:val="20"/>
              </w:rPr>
              <w:t xml:space="preserve">Home Hub Physical Device</w:t>
            </w:r>
          </w:p>
        </w:tc>
        <w:tc>
          <w:tcPr>
            <w:tcW w:type="dxa" w:w="6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Ambient hardware is a retention mechanism, not a moat. Hardware commoditises. Removed until Series A.</w:t>
            </w:r>
          </w:p>
        </w:tc>
      </w:tr>
      <w:tr>
        <w:tc>
          <w:tcPr>
            <w:tcW w:type="dxa" w:w="3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C9943A"/>
                <w:sz w:val="20"/>
                <w:szCs w:val="20"/>
              </w:rPr>
              <w:t xml:space="preserve">Social Switching Costs</w:t>
            </w:r>
          </w:p>
        </w:tc>
        <w:tc>
          <w:tcPr>
            <w:tcW w:type="dxa" w:w="6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Real but overstated. Circles create stickiness but not lock-in. Retained as secondary retention driver.</w:t>
            </w:r>
          </w:p>
        </w:tc>
      </w:tr>
      <w:tr>
        <w:tc>
          <w:tcPr>
            <w:tcW w:type="dxa" w:w="3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27AE60"/>
                <w:sz w:val="20"/>
                <w:szCs w:val="20"/>
              </w:rPr>
              <w:t xml:space="preserve">Pulse Score + Channel Network</w:t>
            </w:r>
          </w:p>
        </w:tc>
        <w:tc>
          <w:tcPr>
            <w:tcW w:type="dxa" w:w="6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Genuine. Data asset grows with time. Channel relationships compound. These are the two we defend.</w:t>
            </w:r>
          </w:p>
        </w:tc>
      </w:tr>
    </w:tbl>
    <w:p>
      <w:r>
        <w:br w:type="page"/>
      </w:r>
    </w:p>
    <w:p>
      <w:pPr>
        <w:spacing w:before="80" w:after="60"/>
      </w:pPr>
      <w:r>
        <w:rPr>
          <w:rFonts w:ascii="Arial" w:cs="Arial" w:eastAsia="Arial" w:hAnsi="Arial"/>
          <w:b/>
          <w:bCs/>
          <w:color w:val="C9943A"/>
          <w:spacing w:val="40"/>
          <w:sz w:val="17"/>
          <w:szCs w:val="17"/>
        </w:rPr>
        <w:t xml:space="preserve">§08</w:t>
      </w:r>
    </w:p>
    <w:p>
      <w:pPr>
        <w:pStyle w:val="Heading1"/>
        <w:spacing w:before="400" w:after="160"/>
      </w:pPr>
      <w:r>
        <w:rPr>
          <w:rFonts w:ascii="Arial" w:cs="Arial" w:eastAsia="Arial" w:hAnsi="Arial"/>
          <w:b/>
          <w:bCs/>
          <w:color w:val="1A2E4A"/>
          <w:sz w:val="40"/>
          <w:szCs w:val="40"/>
        </w:rPr>
        <w:t xml:space="preserve">Validation Plan — 8 Critical Bets</w:t>
      </w:r>
    </w:p>
    <w:p>
      <w:pPr>
        <w:pBdr>
          <w:bottom w:val="single" w:color="0D7377" w:sz="6" w:space="1"/>
        </w:pBdr>
        <w:spacing w:before="200" w:after="200"/>
      </w:pPr>
    </w:p>
    <w:p>
      <w:pPr>
        <w:spacing w:before="120" w:after="120"/>
        <w:jc w:val="left"/>
      </w:pPr>
      <w:r>
        <w:rPr>
          <w:rFonts w:ascii="Arial" w:cs="Arial" w:eastAsia="Arial" w:hAnsi="Arial"/>
          <w:b w:val="false"/>
          <w:bCs w:val="false"/>
          <w:i w:val="false"/>
          <w:iCs w:val="false"/>
          <w:color w:val="0E0E12"/>
          <w:sz w:val="23"/>
          <w:szCs w:val="23"/>
        </w:rPr>
        <w:t xml:space="preserve">Every assumption in this plan is tested cheaply before engineering capital is deployed. Here are the 8 bets, with explicit kill signals that will change our direction — not just our timeline.</w:t>
      </w:r>
    </w:p>
    <w:p>
      <w:pPr>
        <w:spacing w:before="80" w:after="80"/>
        <w:jc w:val="left"/>
      </w:pPr>
      <w:r>
        <w:rPr>
          <w:rFonts w:ascii="Arial" w:cs="Arial" w:eastAsia="Arial" w:hAnsi="Arial"/>
          <w:b w:val="false"/>
          <w:bCs w:val="false"/>
          <w:i w:val="false"/>
          <w:iCs w:val="false"/>
          <w:color w:val="0E0E1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60"/>
        <w:gridCol w:w="2400"/>
      </w:tblGrid>
      <w:tr>
        <w:tc>
          <w:tcPr>
            <w:tcW w:type="dxa" w:w="32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Assumption</w:t>
            </w:r>
          </w:p>
        </w:tc>
        <w:tc>
          <w:tcPr>
            <w:tcW w:type="dxa" w:w="22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Test Method</w:t>
            </w:r>
          </w:p>
        </w:tc>
        <w:tc>
          <w:tcPr>
            <w:tcW w:type="dxa" w:w="156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Budget</w:t>
            </w:r>
          </w:p>
        </w:tc>
        <w:tc>
          <w:tcPr>
            <w:tcW w:type="dxa" w:w="24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Kill Signal</w:t>
            </w:r>
          </w:p>
        </w:tc>
      </w:tr>
      <w:tr>
        <w:tc>
          <w:tcPr>
            <w:tcW w:type="dxa" w:w="3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Couples will share financial data in real time</w:t>
            </w:r>
          </w:p>
        </w:tc>
        <w:tc>
          <w:tcPr>
            <w:tcW w:type="dxa" w:w="2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20 in-home interviews + spreadsheet exercise</w:t>
            </w:r>
          </w:p>
        </w:tc>
        <w:tc>
          <w:tcPr>
            <w:tcW w:type="dxa" w:w="15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£1,600</w:t>
            </w:r>
          </w:p>
        </w:tc>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C0392B"/>
                <w:sz w:val="19"/>
                <w:szCs w:val="19"/>
              </w:rPr>
              <w:t xml:space="preserve">&gt;25% hard refusal in interviews — redesign privacy model before launch</w:t>
            </w:r>
          </w:p>
        </w:tc>
      </w:tr>
      <w:tr>
        <w:tc>
          <w:tcPr>
            <w:tcW w:type="dxa" w:w="3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Households pay £12/mo when free alternatives exist</w:t>
            </w:r>
          </w:p>
        </w:tc>
        <w:tc>
          <w:tcPr>
            <w:tcW w:type="dxa" w:w="2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Landing page A/B + Van Westendorp price interviews</w:t>
            </w:r>
          </w:p>
        </w:tc>
        <w:tc>
          <w:tcPr>
            <w:tcW w:type="dxa" w:w="15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£4,000</w:t>
            </w:r>
          </w:p>
        </w:tc>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C0392B"/>
                <w:sz w:val="19"/>
                <w:szCs w:val="19"/>
              </w:rPr>
              <w:t xml:space="preserve">&lt;12% pay-now click rate — reprice or reframe value proposition</w:t>
            </w:r>
          </w:p>
        </w:tc>
      </w:tr>
      <w:tr>
        <w:tc>
          <w:tcPr>
            <w:tcW w:type="dxa" w:w="3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Employers will pay £2K–£5K/yr as staff benefit</w:t>
            </w:r>
          </w:p>
        </w:tc>
        <w:tc>
          <w:tcPr>
            <w:tcW w:type="dxa" w:w="2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30 HR director cold pitches, LOI ask</w:t>
            </w:r>
          </w:p>
        </w:tc>
        <w:tc>
          <w:tcPr>
            <w:tcW w:type="dxa" w:w="15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£800</w:t>
            </w:r>
          </w:p>
        </w:tc>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C0392B"/>
                <w:sz w:val="19"/>
                <w:szCs w:val="19"/>
              </w:rPr>
              <w:t xml:space="preserve">0 LOIs from 30 pitches — pivot B2B pricing or ICP</w:t>
            </w:r>
          </w:p>
        </w:tc>
      </w:tr>
      <w:tr>
        <w:tc>
          <w:tcPr>
            <w:tcW w:type="dxa" w:w="3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Digital accountability circles retain without a human coach</w:t>
            </w:r>
          </w:p>
        </w:tc>
        <w:tc>
          <w:tcPr>
            <w:tcW w:type="dxa" w:w="2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5 pilot circles, 8 weeks, NPS + attendance tracked</w:t>
            </w:r>
          </w:p>
        </w:tc>
        <w:tc>
          <w:tcPr>
            <w:tcW w:type="dxa" w:w="15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£3,200</w:t>
            </w:r>
          </w:p>
        </w:tc>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C0392B"/>
                <w:sz w:val="19"/>
                <w:szCs w:val="19"/>
              </w:rPr>
              <w:t xml:space="preserve">NPS &lt;30 or attendance &lt;40% — simplify circle structure</w:t>
            </w:r>
          </w:p>
        </w:tc>
      </w:tr>
      <w:tr>
        <w:tc>
          <w:tcPr>
            <w:tcW w:type="dxa" w:w="3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Schools integrate financial literacy without incentive beyond free curriculum</w:t>
            </w:r>
          </w:p>
        </w:tc>
        <w:tc>
          <w:tcPr>
            <w:tcW w:type="dxa" w:w="2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10 principal outreach + 2-session pilot</w:t>
            </w:r>
          </w:p>
        </w:tc>
        <w:tc>
          <w:tcPr>
            <w:tcW w:type="dxa" w:w="15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£1,600</w:t>
            </w:r>
          </w:p>
        </w:tc>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C0392B"/>
                <w:sz w:val="19"/>
                <w:szCs w:val="19"/>
              </w:rPr>
              <w:t xml:space="preserve">0 pilots from 10 approaches — rethink school channel value exchange</w:t>
            </w:r>
          </w:p>
        </w:tc>
      </w:tr>
      <w:tr>
        <w:tc>
          <w:tcPr>
            <w:tcW w:type="dxa" w:w="3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SMB owners see value in personal-business bridge</w:t>
            </w:r>
          </w:p>
        </w:tc>
        <w:tc>
          <w:tcPr>
            <w:tcW w:type="dxa" w:w="2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20 SMB interviews + 300-response Typeform survey</w:t>
            </w:r>
          </w:p>
        </w:tc>
        <w:tc>
          <w:tcPr>
            <w:tcW w:type="dxa" w:w="15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£2,400</w:t>
            </w:r>
          </w:p>
        </w:tc>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C0392B"/>
                <w:sz w:val="19"/>
                <w:szCs w:val="19"/>
              </w:rPr>
              <w:t xml:space="preserve">&lt;60% rate cash flow visibility as top-3 pain — deprioritise SMB module</w:t>
            </w:r>
          </w:p>
        </w:tc>
      </w:tr>
      <w:tr>
        <w:tc>
          <w:tcPr>
            <w:tcW w:type="dxa" w:w="3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D30 retention &gt;50% is achievable without physical mail or hardware</w:t>
            </w:r>
          </w:p>
        </w:tc>
        <w:tc>
          <w:tcPr>
            <w:tcW w:type="dxa" w:w="2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60-day cohort test: 3 notification strategies (heavy / light / ambient)</w:t>
            </w:r>
          </w:p>
        </w:tc>
        <w:tc>
          <w:tcPr>
            <w:tcW w:type="dxa" w:w="15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£1,200</w:t>
            </w:r>
          </w:p>
        </w:tc>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C0392B"/>
                <w:sz w:val="19"/>
                <w:szCs w:val="19"/>
              </w:rPr>
              <w:t xml:space="preserve">D30 &lt;40% across all variants — core product redesign required</w:t>
            </w:r>
          </w:p>
        </w:tc>
      </w:tr>
      <w:tr>
        <w:tc>
          <w:tcPr>
            <w:tcW w:type="dxa" w:w="3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Banks will pay for Pulse Score access without 12-month historical validation</w:t>
            </w:r>
          </w:p>
        </w:tc>
        <w:tc>
          <w:tcPr>
            <w:tcW w:type="dxa" w:w="2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3 bank innovation team conversations + term-sheet test at Month 12</w:t>
            </w:r>
          </w:p>
        </w:tc>
        <w:tc>
          <w:tcPr>
            <w:tcW w:type="dxa" w:w="15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A5568"/>
                <w:sz w:val="20"/>
                <w:szCs w:val="20"/>
              </w:rPr>
              <w:t xml:space="preserve">£0</w:t>
            </w:r>
          </w:p>
        </w:tc>
        <w:tc>
          <w:tcPr>
            <w:tcW w:type="dxa" w:w="2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C0392B"/>
                <w:sz w:val="19"/>
                <w:szCs w:val="19"/>
              </w:rPr>
              <w:t xml:space="preserve">No bank will sign LOI — extend validation runway to 24 months before B2B pivot</w:t>
            </w:r>
          </w:p>
        </w:tc>
      </w:tr>
    </w:tbl>
    <w:p>
      <w:r>
        <w:br w:type="page"/>
      </w:r>
    </w:p>
    <w:p>
      <w:pPr>
        <w:spacing w:before="80" w:after="60"/>
      </w:pPr>
      <w:r>
        <w:rPr>
          <w:rFonts w:ascii="Arial" w:cs="Arial" w:eastAsia="Arial" w:hAnsi="Arial"/>
          <w:b/>
          <w:bCs/>
          <w:color w:val="C9943A"/>
          <w:spacing w:val="40"/>
          <w:sz w:val="17"/>
          <w:szCs w:val="17"/>
        </w:rPr>
        <w:t xml:space="preserve">§09</w:t>
      </w:r>
    </w:p>
    <w:p>
      <w:pPr>
        <w:pStyle w:val="Heading1"/>
        <w:spacing w:before="400" w:after="160"/>
      </w:pPr>
      <w:r>
        <w:rPr>
          <w:rFonts w:ascii="Arial" w:cs="Arial" w:eastAsia="Arial" w:hAnsi="Arial"/>
          <w:b/>
          <w:bCs/>
          <w:color w:val="1A2E4A"/>
          <w:sz w:val="40"/>
          <w:szCs w:val="40"/>
        </w:rPr>
        <w:t xml:space="preserve">Use of Funds · £750K Pre-Seed</w:t>
      </w:r>
    </w:p>
    <w:p>
      <w:pPr>
        <w:pBdr>
          <w:bottom w:val="single" w:color="0D7377" w:sz="6" w:space="1"/>
        </w:pBdr>
        <w:spacing w:before="200" w:after="200"/>
      </w:pPr>
    </w:p>
    <w:p>
      <w:pPr>
        <w:spacing w:before="120" w:after="120"/>
        <w:jc w:val="left"/>
      </w:pPr>
      <w:r>
        <w:rPr>
          <w:rFonts w:ascii="Arial" w:cs="Arial" w:eastAsia="Arial" w:hAnsi="Arial"/>
          <w:b w:val="false"/>
          <w:bCs w:val="false"/>
          <w:i w:val="false"/>
          <w:iCs w:val="false"/>
          <w:color w:val="0E0E12"/>
          <w:sz w:val="23"/>
          <w:szCs w:val="23"/>
        </w:rPr>
        <w:t xml:space="preserve">Every pound is mapped to a specific validation milestone or MVP delivery outcome. We do not allocate to categories — we allocate to decisions.</w:t>
      </w:r>
    </w:p>
    <w:p>
      <w:pPr>
        <w:spacing w:before="80" w:after="80"/>
        <w:jc w:val="left"/>
      </w:pPr>
      <w:r>
        <w:rPr>
          <w:rFonts w:ascii="Arial" w:cs="Arial" w:eastAsia="Arial" w:hAnsi="Arial"/>
          <w:b w:val="false"/>
          <w:bCs w:val="false"/>
          <w:i w:val="false"/>
          <w:iCs w:val="false"/>
          <w:color w:val="0E0E1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Allocation</w:t>
            </w:r>
          </w:p>
        </w:tc>
        <w:tc>
          <w:tcPr>
            <w:tcW w:type="dxa" w:w="16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Amount</w:t>
            </w:r>
          </w:p>
        </w:tc>
        <w:tc>
          <w:tcPr>
            <w:tcW w:type="dxa" w:w="436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What It Buys</w:t>
            </w:r>
          </w:p>
        </w:tc>
      </w:tr>
      <w:tr>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Engineering (CTO + 1 contractor, 18 months)</w:t>
            </w:r>
          </w:p>
        </w:tc>
        <w:tc>
          <w:tcPr>
            <w:tcW w:type="dxa" w:w="16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1A2E4A"/>
                <w:sz w:val="20"/>
                <w:szCs w:val="20"/>
              </w:rPr>
              <w:t xml:space="preserve">£220K</w:t>
            </w:r>
          </w:p>
        </w:tc>
        <w:tc>
          <w:tcPr>
            <w:tcW w:type="dxa" w:w="4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MVP shipped in 16 weeks. City Zero live. Pulse Score v1 built.</w:t>
            </w:r>
          </w:p>
        </w:tc>
      </w:tr>
      <w:tr>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Product Design (contractor, 3 days/week)</w:t>
            </w:r>
          </w:p>
        </w:tc>
        <w:tc>
          <w:tcPr>
            <w:tcW w:type="dxa" w:w="16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1A2E4A"/>
                <w:sz w:val="20"/>
                <w:szCs w:val="20"/>
              </w:rPr>
              <w:t xml:space="preserve">£83K</w:t>
            </w:r>
          </w:p>
        </w:tc>
        <w:tc>
          <w:tcPr>
            <w:tcW w:type="dxa" w:w="4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Onboarding flow, household dashboard, behaviour design system.</w:t>
            </w:r>
          </w:p>
        </w:tc>
      </w:tr>
      <w:tr>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Founder Salaries (CEO + CTO, 18 months)</w:t>
            </w:r>
          </w:p>
        </w:tc>
        <w:tc>
          <w:tcPr>
            <w:tcW w:type="dxa" w:w="16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1A2E4A"/>
                <w:sz w:val="20"/>
                <w:szCs w:val="20"/>
              </w:rPr>
              <w:t xml:space="preserve">£54K</w:t>
            </w:r>
          </w:p>
        </w:tc>
        <w:tc>
          <w:tcPr>
            <w:tcW w:type="dxa" w:w="4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£18K/yr each. Survival rate only — equity is the compensation.</w:t>
            </w:r>
          </w:p>
        </w:tc>
      </w:tr>
      <w:tr>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Validation Experiments (8 tests)</w:t>
            </w:r>
          </w:p>
        </w:tc>
        <w:tc>
          <w:tcPr>
            <w:tcW w:type="dxa" w:w="16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1A2E4A"/>
                <w:sz w:val="20"/>
                <w:szCs w:val="20"/>
              </w:rPr>
              <w:t xml:space="preserve">£15K</w:t>
            </w:r>
          </w:p>
        </w:tc>
        <w:tc>
          <w:tcPr>
            <w:tcW w:type="dxa" w:w="4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All 8 critical assumptions tested before any engineering sprint begins.</w:t>
            </w:r>
          </w:p>
        </w:tc>
      </w:tr>
      <w:tr>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Infrastructure (AWS, TrueLayer, APIs)</w:t>
            </w:r>
          </w:p>
        </w:tc>
        <w:tc>
          <w:tcPr>
            <w:tcW w:type="dxa" w:w="16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1A2E4A"/>
                <w:sz w:val="20"/>
                <w:szCs w:val="20"/>
              </w:rPr>
              <w:t xml:space="preserve">£38K</w:t>
            </w:r>
          </w:p>
        </w:tc>
        <w:tc>
          <w:tcPr>
            <w:tcW w:type="dxa" w:w="4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18 months of hosting, bank data APIs, payments processing, analytics.</w:t>
            </w:r>
          </w:p>
        </w:tc>
      </w:tr>
      <w:tr>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City Zero Activation (employer + school outreach)</w:t>
            </w:r>
          </w:p>
        </w:tc>
        <w:tc>
          <w:tcPr>
            <w:tcW w:type="dxa" w:w="16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1A2E4A"/>
                <w:sz w:val="20"/>
                <w:szCs w:val="20"/>
              </w:rPr>
              <w:t xml:space="preserve">£28K</w:t>
            </w:r>
          </w:p>
        </w:tc>
        <w:tc>
          <w:tcPr>
            <w:tcW w:type="dxa" w:w="4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Events, travel, collateral, referral program seeding. 500 families in 6 months.</w:t>
            </w:r>
          </w:p>
        </w:tc>
      </w:tr>
      <w:tr>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Legal, Compliance, FCA Sandbox Filing</w:t>
            </w:r>
          </w:p>
        </w:tc>
        <w:tc>
          <w:tcPr>
            <w:tcW w:type="dxa" w:w="16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1A2E4A"/>
                <w:sz w:val="20"/>
                <w:szCs w:val="20"/>
              </w:rPr>
              <w:t xml:space="preserve">£32K</w:t>
            </w:r>
          </w:p>
        </w:tc>
        <w:tc>
          <w:tcPr>
            <w:tcW w:type="dxa" w:w="4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Company setup, T&amp;Cs, GDPR framework, FCA regulatory sandbox application.</w:t>
            </w:r>
          </w:p>
        </w:tc>
      </w:tr>
      <w:tr>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Security &amp; Pen Testing</w:t>
            </w:r>
          </w:p>
        </w:tc>
        <w:tc>
          <w:tcPr>
            <w:tcW w:type="dxa" w:w="16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1A2E4A"/>
                <w:sz w:val="20"/>
                <w:szCs w:val="20"/>
              </w:rPr>
              <w:t xml:space="preserve">£18K</w:t>
            </w:r>
          </w:p>
        </w:tc>
        <w:tc>
          <w:tcPr>
            <w:tcW w:type="dxa" w:w="4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Annual pen test by CREST-certified firm. Required for any bank licensing conversation.</w:t>
            </w:r>
          </w:p>
        </w:tc>
      </w:tr>
      <w:tr>
        <w:tc>
          <w:tcPr>
            <w:tcW w:type="dxa" w:w="34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bCs/>
                <w:i w:val="false"/>
                <w:iCs w:val="false"/>
                <w:color w:val="0E0E12"/>
                <w:sz w:val="20"/>
                <w:szCs w:val="20"/>
              </w:rPr>
              <w:t xml:space="preserve">Buffer / Contingency (17%)</w:t>
            </w:r>
          </w:p>
        </w:tc>
        <w:tc>
          <w:tcPr>
            <w:tcW w:type="dxa" w:w="160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center"/>
            </w:pPr>
            <w:r>
              <w:rPr>
                <w:rFonts w:ascii="Arial" w:cs="Arial" w:eastAsia="Arial" w:hAnsi="Arial"/>
                <w:b/>
                <w:bCs/>
                <w:i w:val="false"/>
                <w:iCs w:val="false"/>
                <w:color w:val="C9943A"/>
                <w:sz w:val="20"/>
                <w:szCs w:val="20"/>
              </w:rPr>
              <w:t xml:space="preserve">£262K</w:t>
            </w:r>
          </w:p>
        </w:tc>
        <w:tc>
          <w:tcPr>
            <w:tcW w:type="dxa" w:w="4360"/>
            <w:tcBorders>
              <w:top w:val="single" w:color="CBD5E0" w:sz="1"/>
              <w:left w:val="single" w:color="CBD5E0" w:sz="1"/>
              <w:bottom w:val="single" w:color="CBD5E0" w:sz="1"/>
              <w:right w:val="single" w:color="CBD5E0"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A5568"/>
                <w:sz w:val="20"/>
                <w:szCs w:val="20"/>
              </w:rPr>
              <w:t xml:space="preserve">18-month runway insurance. Used only if timeline slips or kill signal requires product pivot.</w:t>
            </w:r>
          </w:p>
        </w:tc>
      </w:tr>
      <w:tr>
        <w:tc>
          <w:tcPr>
            <w:tcW w:type="dxa" w:w="34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TOTAL</w:t>
            </w:r>
          </w:p>
        </w:tc>
        <w:tc>
          <w:tcPr>
            <w:tcW w:type="dxa" w:w="160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center"/>
            </w:pPr>
            <w:r>
              <w:rPr>
                <w:rFonts w:ascii="Arial" w:cs="Arial" w:eastAsia="Arial" w:hAnsi="Arial"/>
                <w:b/>
                <w:bCs/>
                <w:i w:val="false"/>
                <w:iCs w:val="false"/>
                <w:color w:val="C9943A"/>
                <w:sz w:val="20"/>
                <w:szCs w:val="20"/>
              </w:rPr>
              <w:t xml:space="preserve">£750K</w:t>
            </w:r>
          </w:p>
        </w:tc>
        <w:tc>
          <w:tcPr>
            <w:tcW w:type="dxa" w:w="4360"/>
            <w:tcBorders>
              <w:top w:val="single" w:color="CBD5E0" w:sz="1"/>
              <w:left w:val="single" w:color="CBD5E0" w:sz="1"/>
              <w:bottom w:val="single" w:color="CBD5E0" w:sz="1"/>
              <w:right w:val="single" w:color="CBD5E0" w:sz="1"/>
            </w:tcBorders>
            <w:shd w:fill="1A2E4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18-month runway to Seed milestone: £380K ARR, 1,440 households, D90 &gt;60%.</w:t>
            </w:r>
          </w:p>
        </w:tc>
      </w:tr>
    </w:tbl>
    <w:p>
      <w:r>
        <w:br w:type="page"/>
      </w:r>
    </w:p>
    <w:p>
      <w:pPr>
        <w:spacing w:before="80" w:after="60"/>
      </w:pPr>
      <w:r>
        <w:rPr>
          <w:rFonts w:ascii="Arial" w:cs="Arial" w:eastAsia="Arial" w:hAnsi="Arial"/>
          <w:b/>
          <w:bCs/>
          <w:color w:val="C9943A"/>
          <w:spacing w:val="40"/>
          <w:sz w:val="17"/>
          <w:szCs w:val="17"/>
        </w:rPr>
        <w:t xml:space="preserve">§10</w:t>
      </w:r>
    </w:p>
    <w:p>
      <w:pPr>
        <w:pStyle w:val="Heading1"/>
        <w:spacing w:before="400" w:after="160"/>
      </w:pPr>
      <w:r>
        <w:rPr>
          <w:rFonts w:ascii="Arial" w:cs="Arial" w:eastAsia="Arial" w:hAnsi="Arial"/>
          <w:b/>
          <w:bCs/>
          <w:color w:val="1A2E4A"/>
          <w:sz w:val="40"/>
          <w:szCs w:val="40"/>
        </w:rPr>
        <w:t xml:space="preserve">The Investment Case</w:t>
      </w:r>
    </w:p>
    <w:p>
      <w:pPr>
        <w:pBdr>
          <w:bottom w:val="single" w:color="0D7377" w:sz="6" w:space="1"/>
        </w:pBdr>
        <w:spacing w:before="200" w:after="200"/>
      </w:pPr>
    </w:p>
    <w:p>
      <w:pPr>
        <w:spacing w:before="120" w:after="120"/>
        <w:jc w:val="left"/>
      </w:pPr>
      <w:r>
        <w:rPr>
          <w:rFonts w:ascii="Arial" w:cs="Arial" w:eastAsia="Arial" w:hAnsi="Arial"/>
          <w:b/>
          <w:bCs/>
          <w:i w:val="false"/>
          <w:iCs w:val="false"/>
          <w:color w:val="0E0E12"/>
          <w:sz w:val="24"/>
          <w:szCs w:val="24"/>
        </w:rPr>
        <w:t xml:space="preserve">Here is what we are asking you to believe. Not the whole vision — just the next 18 months.</w:t>
      </w:r>
    </w:p>
    <w:p>
      <w:pPr>
        <w:spacing w:before="80" w:after="80"/>
        <w:jc w:val="left"/>
      </w:pPr>
      <w:r>
        <w:rPr>
          <w:rFonts w:ascii="Arial" w:cs="Arial" w:eastAsia="Arial" w:hAnsi="Arial"/>
          <w:b w:val="false"/>
          <w:bCs w:val="false"/>
          <w:i w:val="false"/>
          <w:iCs w:val="false"/>
          <w:color w:val="0E0E1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BD5E0" w:sz="1"/>
              <w:left w:val="single" w:color="CBD5E0" w:sz="1"/>
              <w:bottom w:val="single" w:color="CBD5E0" w:sz="1"/>
              <w:right w:val="single" w:color="CBD5E0" w:sz="1"/>
            </w:tcBorders>
            <w:shd w:fill="0D7377"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20"/>
                <w:szCs w:val="20"/>
              </w:rPr>
              <w:t xml:space="preserve">01</w:t>
            </w:r>
          </w:p>
        </w:tc>
        <w:tc>
          <w:tcPr>
            <w:tcW w:type="dxa" w:w="9160"/>
            <w:tcBorders>
              <w:top w:val="single" w:color="CBD5E0" w:sz="1"/>
              <w:left w:val="none" w:color="FFFFFF" w:sz="0"/>
              <w:bottom w:val="single" w:color="CBD5E0" w:sz="1"/>
              <w:right w:val="none" w:color="FFFFFF" w:sz="0"/>
            </w:tcBorders>
            <w:tcMar>
              <w:top w:type="dxa" w:w="120"/>
              <w:left w:type="dxa" w:w="160"/>
              <w:bottom w:type="dxa" w:w="120"/>
              <w:right w:type="dxa" w:w="160"/>
            </w:tcMar>
          </w:tcPr>
          <w:p>
            <w:r>
              <w:rPr>
                <w:rFonts w:ascii="Arial" w:cs="Arial" w:eastAsia="Arial" w:hAnsi="Arial"/>
                <w:b/>
                <w:bCs/>
                <w:color w:val="1A2E4A"/>
                <w:sz w:val="22"/>
                <w:szCs w:val="22"/>
              </w:rPr>
              <w:t xml:space="preserve">The problem is real and deeply underserved.</w:t>
            </w:r>
          </w:p>
          <w:p>
            <w:pPr>
              <w:spacing w:before="60"/>
            </w:pPr>
            <w:r>
              <w:rPr>
                <w:rFonts w:ascii="Arial" w:cs="Arial" w:eastAsia="Arial" w:hAnsi="Arial"/>
                <w:color w:val="4A5568"/>
                <w:sz w:val="20"/>
                <w:szCs w:val="20"/>
              </w:rPr>
              <w:t xml:space="preserve">No product today treats the household as the unit of account. Monzo, Emma, and Plum are all individual tools. The gap is structural, not incidental.</w:t>
            </w:r>
          </w:p>
        </w:tc>
      </w:tr>
      <w:tr>
        <w:tc>
          <w:tcPr>
            <w:tcW w:type="dxa" w:w="200"/>
            <w:tcBorders>
              <w:top w:val="single" w:color="CBD5E0" w:sz="1"/>
              <w:left w:val="single" w:color="CBD5E0" w:sz="1"/>
              <w:bottom w:val="single" w:color="CBD5E0" w:sz="1"/>
              <w:right w:val="single" w:color="CBD5E0" w:sz="1"/>
            </w:tcBorders>
            <w:shd w:fill="0D7377"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20"/>
                <w:szCs w:val="20"/>
              </w:rPr>
              <w:t xml:space="preserve">02</w:t>
            </w:r>
          </w:p>
        </w:tc>
        <w:tc>
          <w:tcPr>
            <w:tcW w:type="dxa" w:w="9160"/>
            <w:tcBorders>
              <w:top w:val="single" w:color="CBD5E0" w:sz="1"/>
              <w:left w:val="none" w:color="FFFFFF" w:sz="0"/>
              <w:bottom w:val="single" w:color="CBD5E0" w:sz="1"/>
              <w:right w:val="none" w:color="FFFFFF" w:sz="0"/>
            </w:tcBorders>
            <w:tcMar>
              <w:top w:type="dxa" w:w="120"/>
              <w:left w:type="dxa" w:w="160"/>
              <w:bottom w:type="dxa" w:w="120"/>
              <w:right w:type="dxa" w:w="160"/>
            </w:tcMar>
          </w:tcPr>
          <w:p>
            <w:r>
              <w:rPr>
                <w:rFonts w:ascii="Arial" w:cs="Arial" w:eastAsia="Arial" w:hAnsi="Arial"/>
                <w:b/>
                <w:bCs/>
                <w:color w:val="1A2E4A"/>
                <w:sz w:val="22"/>
                <w:szCs w:val="22"/>
              </w:rPr>
              <w:t xml:space="preserve">The employer channel is already working.</w:t>
            </w:r>
          </w:p>
          <w:p>
            <w:pPr>
              <w:spacing w:before="60"/>
            </w:pPr>
            <w:r>
              <w:rPr>
                <w:rFonts w:ascii="Arial" w:cs="Arial" w:eastAsia="Arial" w:hAnsi="Arial"/>
                <w:color w:val="4A5568"/>
                <w:sz w:val="20"/>
                <w:szCs w:val="20"/>
              </w:rPr>
              <w:t xml:space="preserve">Four signed LOIs before a single line of product code is written. This is not a distribution hypothesis — it is early evidence. The channel that drives blended CAC from £84 to £18 by Year 5.</w:t>
            </w:r>
          </w:p>
        </w:tc>
      </w:tr>
      <w:tr>
        <w:tc>
          <w:tcPr>
            <w:tcW w:type="dxa" w:w="200"/>
            <w:tcBorders>
              <w:top w:val="single" w:color="CBD5E0" w:sz="1"/>
              <w:left w:val="single" w:color="CBD5E0" w:sz="1"/>
              <w:bottom w:val="single" w:color="CBD5E0" w:sz="1"/>
              <w:right w:val="single" w:color="CBD5E0" w:sz="1"/>
            </w:tcBorders>
            <w:shd w:fill="0D7377"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20"/>
                <w:szCs w:val="20"/>
              </w:rPr>
              <w:t xml:space="preserve">03</w:t>
            </w:r>
          </w:p>
        </w:tc>
        <w:tc>
          <w:tcPr>
            <w:tcW w:type="dxa" w:w="9160"/>
            <w:tcBorders>
              <w:top w:val="single" w:color="CBD5E0" w:sz="1"/>
              <w:left w:val="none" w:color="FFFFFF" w:sz="0"/>
              <w:bottom w:val="single" w:color="CBD5E0" w:sz="1"/>
              <w:right w:val="none" w:color="FFFFFF" w:sz="0"/>
            </w:tcBorders>
            <w:tcMar>
              <w:top w:type="dxa" w:w="120"/>
              <w:left w:type="dxa" w:w="160"/>
              <w:bottom w:type="dxa" w:w="120"/>
              <w:right w:type="dxa" w:w="160"/>
            </w:tcMar>
          </w:tcPr>
          <w:p>
            <w:r>
              <w:rPr>
                <w:rFonts w:ascii="Arial" w:cs="Arial" w:eastAsia="Arial" w:hAnsi="Arial"/>
                <w:b/>
                <w:bCs/>
                <w:color w:val="1A2E4A"/>
                <w:sz w:val="22"/>
                <w:szCs w:val="22"/>
              </w:rPr>
              <w:t xml:space="preserve">The Pulse Score is the real business — the consumer product is the distribution.</w:t>
            </w:r>
          </w:p>
          <w:p>
            <w:pPr>
              <w:spacing w:before="60"/>
            </w:pPr>
            <w:r>
              <w:rPr>
                <w:rFonts w:ascii="Arial" w:cs="Arial" w:eastAsia="Arial" w:hAnsi="Arial"/>
                <w:color w:val="4A5568"/>
                <w:sz w:val="20"/>
                <w:szCs w:val="20"/>
              </w:rPr>
              <w:t xml:space="preserve">Banks need a better household credit signal. Every 250K families generate a proprietary data asset that no bank can replicate. The B2B licensing business at Year 5 is 30% of ARR at near-100% gross margin.</w:t>
            </w:r>
          </w:p>
        </w:tc>
      </w:tr>
      <w:tr>
        <w:tc>
          <w:tcPr>
            <w:tcW w:type="dxa" w:w="200"/>
            <w:tcBorders>
              <w:top w:val="single" w:color="CBD5E0" w:sz="1"/>
              <w:left w:val="single" w:color="CBD5E0" w:sz="1"/>
              <w:bottom w:val="single" w:color="CBD5E0" w:sz="1"/>
              <w:right w:val="single" w:color="CBD5E0" w:sz="1"/>
            </w:tcBorders>
            <w:shd w:fill="0D7377"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20"/>
                <w:szCs w:val="20"/>
              </w:rPr>
              <w:t xml:space="preserve">04</w:t>
            </w:r>
          </w:p>
        </w:tc>
        <w:tc>
          <w:tcPr>
            <w:tcW w:type="dxa" w:w="9160"/>
            <w:tcBorders>
              <w:top w:val="single" w:color="CBD5E0" w:sz="1"/>
              <w:left w:val="none" w:color="FFFFFF" w:sz="0"/>
              <w:bottom w:val="single" w:color="CBD5E0" w:sz="1"/>
              <w:right w:val="none" w:color="FFFFFF" w:sz="0"/>
            </w:tcBorders>
            <w:tcMar>
              <w:top w:type="dxa" w:w="120"/>
              <w:left w:type="dxa" w:w="160"/>
              <w:bottom w:type="dxa" w:w="120"/>
              <w:right w:type="dxa" w:w="160"/>
            </w:tcMar>
          </w:tcPr>
          <w:p>
            <w:r>
              <w:rPr>
                <w:rFonts w:ascii="Arial" w:cs="Arial" w:eastAsia="Arial" w:hAnsi="Arial"/>
                <w:b/>
                <w:bCs/>
                <w:color w:val="1A2E4A"/>
                <w:sz w:val="22"/>
                <w:szCs w:val="22"/>
              </w:rPr>
              <w:t xml:space="preserve">We removed what we could not defend.</w:t>
            </w:r>
          </w:p>
          <w:p>
            <w:pPr>
              <w:spacing w:before="60"/>
            </w:pPr>
            <w:r>
              <w:rPr>
                <w:rFonts w:ascii="Arial" w:cs="Arial" w:eastAsia="Arial" w:hAnsi="Arial"/>
                <w:color w:val="4A5568"/>
                <w:sz w:val="20"/>
                <w:szCs w:val="20"/>
              </w:rPr>
              <w:t xml:space="preserve">The coach certification network and the Home Hub are gone from this plan. Not because we lack conviction — but because they require capital and time we do not have before product-market fit. We will reintroduce them when we can afford to be right about them.</w:t>
            </w:r>
          </w:p>
        </w:tc>
      </w:tr>
    </w:tbl>
    <w:p>
      <w:pPr>
        <w:spacing w:before="80" w:after="80"/>
        <w:jc w:val="left"/>
      </w:pPr>
      <w:r>
        <w:rPr>
          <w:rFonts w:ascii="Arial" w:cs="Arial" w:eastAsia="Arial" w:hAnsi="Arial"/>
          <w:b w:val="false"/>
          <w:bCs w:val="false"/>
          <w:i w:val="false"/>
          <w:iCs w:val="false"/>
          <w:color w:val="0E0E12"/>
          <w:sz w:val="22"/>
          <w:szCs w:val="22"/>
        </w:rPr>
        <w:t xml:space="preserve"/>
      </w:r>
    </w:p>
    <w:p>
      <w:pPr>
        <w:spacing w:before="80" w:after="80"/>
        <w:jc w:val="left"/>
      </w:pPr>
      <w:r>
        <w:rPr>
          <w:rFonts w:ascii="Arial" w:cs="Arial" w:eastAsia="Arial" w:hAnsi="Arial"/>
          <w:b w:val="false"/>
          <w:bCs w:val="false"/>
          <w:i w:val="false"/>
          <w:iCs w:val="false"/>
          <w:color w:val="0E0E1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8"/>
              <w:left w:val="none" w:color="FFFFFF" w:sz="0"/>
              <w:bottom w:val="single" w:color="0D7377" w:sz="8"/>
              <w:right w:val="none" w:color="FFFFFF" w:sz="0"/>
            </w:tcBorders>
            <w:shd w:fill="EBF8F8" w:val="clear"/>
            <w:tcMar>
              <w:top w:type="dxa" w:w="200"/>
              <w:left w:type="dxa" w:w="300"/>
              <w:bottom w:type="dxa" w:w="200"/>
              <w:right w:type="dxa" w:w="300"/>
            </w:tcMar>
          </w:tcPr>
          <w:p>
            <w:pPr>
              <w:jc w:val="center"/>
            </w:pPr>
            <w:r>
              <w:rPr>
                <w:rFonts w:ascii="Arial" w:cs="Arial" w:eastAsia="Arial" w:hAnsi="Arial"/>
                <w:b/>
                <w:bCs/>
                <w:i/>
                <w:iCs/>
                <w:color w:val="0D7377"/>
                <w:sz w:val="26"/>
                <w:szCs w:val="26"/>
              </w:rPr>
              <w:t xml:space="preserve">"We are not asking you to fund the vision. We are asking you to fund the proof."</w:t>
            </w:r>
          </w:p>
          <w:p>
            <w:pPr>
              <w:spacing w:before="80"/>
              <w:jc w:val="center"/>
            </w:pPr>
            <w:r>
              <w:rPr>
                <w:rFonts w:ascii="Arial" w:cs="Arial" w:eastAsia="Arial" w:hAnsi="Arial"/>
                <w:color w:val="4A5568"/>
                <w:sz w:val="19"/>
                <w:szCs w:val="19"/>
              </w:rPr>
              <w:t xml:space="preserve">— FinFlow Founders · 2025</w:t>
            </w:r>
          </w:p>
        </w:tc>
      </w:tr>
    </w:tbl>
    <w:p>
      <w:pPr>
        <w:spacing w:before="80" w:after="80"/>
        <w:jc w:val="left"/>
      </w:pPr>
      <w:r>
        <w:rPr>
          <w:rFonts w:ascii="Arial" w:cs="Arial" w:eastAsia="Arial" w:hAnsi="Arial"/>
          <w:b w:val="false"/>
          <w:bCs w:val="false"/>
          <w:i w:val="false"/>
          <w:iCs w:val="false"/>
          <w:color w:val="0E0E12"/>
          <w:sz w:val="22"/>
          <w:szCs w:val="22"/>
        </w:rPr>
        <w:t xml:space="preserve"/>
      </w:r>
    </w:p>
    <w:p>
      <w:pPr>
        <w:spacing w:before="80" w:after="80"/>
        <w:jc w:val="left"/>
      </w:pPr>
      <w:r>
        <w:rPr>
          <w:rFonts w:ascii="Arial" w:cs="Arial" w:eastAsia="Arial" w:hAnsi="Arial"/>
          <w:b w:val="false"/>
          <w:bCs w:val="false"/>
          <w:i w:val="false"/>
          <w:iCs w:val="false"/>
          <w:color w:val="0E0E12"/>
          <w:sz w:val="22"/>
          <w:szCs w:val="22"/>
        </w:rPr>
        <w:t xml:space="preserve"/>
      </w:r>
    </w:p>
    <w:p>
      <w:pPr>
        <w:pStyle w:val="Heading2"/>
        <w:spacing w:before="300" w:after="120"/>
      </w:pPr>
      <w:r>
        <w:rPr>
          <w:rFonts w:ascii="Arial" w:cs="Arial" w:eastAsia="Arial" w:hAnsi="Arial"/>
          <w:b/>
          <w:bCs/>
          <w:color w:val="0D7377"/>
          <w:sz w:val="28"/>
          <w:szCs w:val="28"/>
        </w:rPr>
        <w:t xml:space="preserve">Seed Milestone — What £750K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single" w:color="0D7377" w:sz="2"/>
            </w:tcBorders>
            <w:shd w:fill="1A2E4A" w:val="clear"/>
            <w:tcMar>
              <w:top w:type="dxa" w:w="200"/>
              <w:left w:type="dxa" w:w="200"/>
              <w:bottom w:type="dxa" w:w="200"/>
              <w:right w:type="dxa" w:w="200"/>
            </w:tcMar>
          </w:tcPr>
          <w:p>
            <w:pPr>
              <w:jc w:val="center"/>
            </w:pPr>
            <w:r>
              <w:rPr>
                <w:rFonts w:ascii="Arial" w:cs="Arial" w:eastAsia="Arial" w:hAnsi="Arial"/>
                <w:b/>
                <w:bCs/>
                <w:color w:val="C9943A"/>
                <w:sz w:val="48"/>
                <w:szCs w:val="48"/>
              </w:rPr>
              <w:t xml:space="preserve">1,440</w:t>
            </w:r>
          </w:p>
          <w:p>
            <w:pPr>
              <w:jc w:val="center"/>
            </w:pPr>
            <w:r>
              <w:rPr>
                <w:rFonts w:ascii="Arial" w:cs="Arial" w:eastAsia="Arial" w:hAnsi="Arial"/>
                <w:color w:val="FFFFFF"/>
                <w:sz w:val="19"/>
                <w:szCs w:val="19"/>
              </w:rPr>
              <w:t xml:space="preserve">Active Households</w:t>
            </w:r>
          </w:p>
        </w:tc>
        <w:tc>
          <w:tcPr>
            <w:tcW w:type="dxa" w:w="3120"/>
            <w:tcBorders>
              <w:top w:val="none"/>
              <w:left w:val="none"/>
              <w:bottom w:val="none"/>
              <w:right w:val="single" w:color="0D7377" w:sz="2"/>
            </w:tcBorders>
            <w:shd w:fill="1A2E4A" w:val="clear"/>
            <w:tcMar>
              <w:top w:type="dxa" w:w="200"/>
              <w:left w:type="dxa" w:w="200"/>
              <w:bottom w:type="dxa" w:w="200"/>
              <w:right w:type="dxa" w:w="200"/>
            </w:tcMar>
          </w:tcPr>
          <w:p>
            <w:pPr>
              <w:jc w:val="center"/>
            </w:pPr>
            <w:r>
              <w:rPr>
                <w:rFonts w:ascii="Arial" w:cs="Arial" w:eastAsia="Arial" w:hAnsi="Arial"/>
                <w:b/>
                <w:bCs/>
                <w:color w:val="C9943A"/>
                <w:sz w:val="48"/>
                <w:szCs w:val="48"/>
              </w:rPr>
              <w:t xml:space="preserve">&gt;60%</w:t>
            </w:r>
          </w:p>
          <w:p>
            <w:pPr>
              <w:jc w:val="center"/>
            </w:pPr>
            <w:r>
              <w:rPr>
                <w:rFonts w:ascii="Arial" w:cs="Arial" w:eastAsia="Arial" w:hAnsi="Arial"/>
                <w:color w:val="FFFFFF"/>
                <w:sz w:val="19"/>
                <w:szCs w:val="19"/>
              </w:rPr>
              <w:t xml:space="preserve">D90 Retention</w:t>
            </w:r>
          </w:p>
        </w:tc>
        <w:tc>
          <w:tcPr>
            <w:tcW w:type="dxa" w:w="3120"/>
            <w:tcBorders>
              <w:top w:val="none"/>
              <w:left w:val="none"/>
              <w:bottom w:val="none"/>
              <w:right w:val="none"/>
            </w:tcBorders>
            <w:shd w:fill="1A2E4A" w:val="clear"/>
            <w:tcMar>
              <w:top w:type="dxa" w:w="200"/>
              <w:left w:type="dxa" w:w="200"/>
              <w:bottom w:type="dxa" w:w="200"/>
              <w:right w:type="dxa" w:w="200"/>
            </w:tcMar>
          </w:tcPr>
          <w:p>
            <w:pPr>
              <w:jc w:val="center"/>
            </w:pPr>
            <w:r>
              <w:rPr>
                <w:rFonts w:ascii="Arial" w:cs="Arial" w:eastAsia="Arial" w:hAnsi="Arial"/>
                <w:b/>
                <w:bCs/>
                <w:color w:val="C9943A"/>
                <w:sz w:val="48"/>
                <w:szCs w:val="48"/>
              </w:rPr>
              <w:t xml:space="preserve">£380K</w:t>
            </w:r>
          </w:p>
          <w:p>
            <w:pPr>
              <w:jc w:val="center"/>
            </w:pPr>
            <w:r>
              <w:rPr>
                <w:rFonts w:ascii="Arial" w:cs="Arial" w:eastAsia="Arial" w:hAnsi="Arial"/>
                <w:color w:val="FFFFFF"/>
                <w:sz w:val="19"/>
                <w:szCs w:val="19"/>
              </w:rPr>
              <w:t xml:space="preserve">ARR Run Rate</w:t>
            </w:r>
          </w:p>
        </w:tc>
      </w:tr>
    </w:tbl>
    <w:p>
      <w:pPr>
        <w:spacing w:before="80" w:after="80"/>
        <w:jc w:val="left"/>
      </w:pPr>
      <w:r>
        <w:rPr>
          <w:rFonts w:ascii="Arial" w:cs="Arial" w:eastAsia="Arial" w:hAnsi="Arial"/>
          <w:b w:val="false"/>
          <w:bCs w:val="false"/>
          <w:i w:val="false"/>
          <w:iCs w:val="false"/>
          <w:color w:val="0E0E12"/>
          <w:sz w:val="22"/>
          <w:szCs w:val="22"/>
        </w:rPr>
        <w:t xml:space="preserve"/>
      </w:r>
    </w:p>
    <w:p>
      <w:pPr>
        <w:spacing w:before="200" w:after="100"/>
        <w:jc w:val="center"/>
      </w:pPr>
      <w:r>
        <w:rPr>
          <w:rFonts w:ascii="Arial" w:cs="Arial" w:eastAsia="Arial" w:hAnsi="Arial"/>
          <w:i/>
          <w:iCs/>
          <w:color w:val="4A5568"/>
          <w:sz w:val="18"/>
          <w:szCs w:val="18"/>
        </w:rPr>
        <w:t xml:space="preserve">FinFlow · Revised Business Plan v2.0 · Confidential · 2025</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jc w:val="center"/>
    </w:pPr>
    <w:r>
      <w:rPr>
        <w:rFonts w:ascii="Arial" w:cs="Arial" w:eastAsia="Arial" w:hAnsi="Arial"/>
        <w:color w:val="4A5568"/>
        <w:sz w:val="17"/>
        <w:szCs w:val="17"/>
      </w:rPr>
      <w:t xml:space="preserve">Page </w:t>
    </w:r>
    <w:r>
      <w:rPr>
        <w:rFonts w:ascii="Arial" w:cs="Arial" w:eastAsia="Arial" w:hAnsi="Arial"/>
        <w:color w:val="4A5568"/>
        <w:sz w:val="17"/>
        <w:szCs w:val="17"/>
      </w:rPr>
      <w:fldChar w:fldCharType="begin"/>
      <w:instrText xml:space="preserve">PAGE</w:instrText>
      <w:fldChar w:fldCharType="separate"/>
      <w:fldChar w:fldCharType="end"/>
    </w:r>
    <w:r>
      <w:rPr>
        <w:rFonts w:ascii="Arial" w:cs="Arial" w:eastAsia="Arial" w:hAnsi="Arial"/>
        <w:color w:val="4A5568"/>
        <w:sz w:val="17"/>
        <w:szCs w:val="17"/>
      </w:rPr>
      <w:t xml:space="preserve"> of </w:t>
    </w:r>
    <w:r>
      <w:rPr>
        <w:rFonts w:ascii="Arial" w:cs="Arial" w:eastAsia="Arial" w:hAnsi="Arial"/>
        <w:color w:val="4A556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tabs>
        <w:tab w:val="right" w:pos="9026"/>
      </w:tabs>
    </w:pPr>
    <w:r>
      <w:rPr>
        <w:rFonts w:ascii="Arial" w:cs="Arial" w:eastAsia="Arial" w:hAnsi="Arial"/>
        <w:color w:val="4A5568"/>
        <w:sz w:val="17"/>
        <w:szCs w:val="17"/>
      </w:rPr>
      <w:t xml:space="preserve">FinFlow · Revised Business Plan · v2.0</w:t>
    </w:r>
    <w:r>
      <w:rPr>
        <w:rFonts w:ascii="Arial" w:cs="Arial" w:eastAsia="Arial" w:hAnsi="Arial"/>
        <w:sz w:val="17"/>
        <w:szCs w:val="17"/>
      </w:rPr>
      <w:t xml:space="preserve">	</w:t>
    </w:r>
    <w:r>
      <w:rPr>
        <w:rFonts w:ascii="Arial" w:cs="Arial" w:eastAsia="Arial" w:hAnsi="Arial"/>
        <w:color w:val="C9943A"/>
        <w:sz w:val="17"/>
        <w:szCs w:val="17"/>
      </w:rPr>
      <w:t xml:space="preserve">Confidential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A"/>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2026-03-03T07:26:10.256Z</dcterms:created>
  <dcterms:modified xsi:type="dcterms:W3CDTF">2026-03-03T07:26:10.256Z</dcterms:modified>
</cp:coreProperties>
</file>

<file path=docProps/custom.xml><?xml version="1.0" encoding="utf-8"?>
<Properties xmlns="http://schemas.openxmlformats.org/officeDocument/2006/custom-properties" xmlns:vt="http://schemas.openxmlformats.org/officeDocument/2006/docPropsVTypes"/>
</file>