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  <w:t>50ETF</w:t>
      </w:r>
      <w:r>
        <w:rPr>
          <w:rFonts w:ascii="Consolas" w:hAnsi="Consolas" w:eastAsia="Consolas"/>
        </w:rPr>
        <w:t>期权</w:t>
      </w:r>
    </w:p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p>
      <w:pPr>
        <w:pStyle w:val="Normal"/>
        <w:rPr>
          <w:rFonts w:ascii="Consolas" w:hAnsi="Consolas" w:eastAsia="Consolas"/>
        </w:rPr>
      </w:pPr>
      <w:r>
        <w:rPr>
          <w:rFonts w:ascii="Consolas" w:hAnsi="Consolas" w:eastAsia="Consolas"/>
        </w:rPr>
        <w:t xml:space="preserve">「备兑开仓」就是 </w:t>
      </w:r>
      <w:r>
        <w:rPr>
          <w:rFonts w:ascii="Consolas" w:hAnsi="Consolas" w:eastAsia="Consolas"/>
          <w:sz w:val="21"/>
          <w:szCs w:val="21"/>
        </w:rPr>
        <w:t>“</w:t>
      </w:r>
      <w:r>
        <w:rPr>
          <w:rFonts w:eastAsia="Consolas" w:ascii="Consolas" w:hAnsi="Consolas"/>
          <w:sz w:val="21"/>
          <w:szCs w:val="21"/>
        </w:rPr>
        <w:t>covered call”</w:t>
      </w:r>
      <w:r>
        <w:rPr>
          <w:rFonts w:ascii="Consolas" w:hAnsi="Consolas" w:eastAsia="Consolas"/>
        </w:rPr>
        <w:t>。</w:t>
      </w:r>
    </w:p>
    <w:p>
      <w:pPr>
        <w:pStyle w:val="Normal"/>
        <w:rPr>
          <w:rFonts w:ascii="Consolas" w:hAnsi="Consolas" w:eastAsia="Consolas"/>
        </w:rPr>
      </w:pPr>
      <w:r>
        <w:rPr>
          <w:rFonts w:ascii="Consolas" w:hAnsi="Consolas" w:eastAsia="Consolas"/>
          <w:sz w:val="21"/>
          <w:szCs w:val="21"/>
        </w:rPr>
        <w:t>“</w:t>
      </w:r>
      <w:r>
        <w:rPr>
          <w:rFonts w:eastAsia="Consolas" w:ascii="Consolas" w:hAnsi="Consolas"/>
          <w:sz w:val="21"/>
          <w:szCs w:val="21"/>
        </w:rPr>
        <w:t xml:space="preserve">Protective put” </w:t>
      </w:r>
      <w:r>
        <w:rPr>
          <w:rFonts w:ascii="Consolas" w:hAnsi="Consolas" w:eastAsia="Consolas"/>
        </w:rPr>
        <w:t>的中文名叫「保护性认沽期权」。</w:t>
      </w:r>
    </w:p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tbl>
      <w:tblPr>
        <w:tblW w:w="10042" w:type="dxa"/>
        <w:jc w:val="left"/>
        <w:tblInd w:w="8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50" w:type="dxa"/>
          <w:left w:w="79" w:type="dxa"/>
          <w:bottom w:w="50" w:type="dxa"/>
          <w:right w:w="80" w:type="dxa"/>
        </w:tblCellMar>
      </w:tblPr>
      <w:tblGrid>
        <w:gridCol w:w="1870"/>
        <w:gridCol w:w="8172"/>
      </w:tblGrid>
      <w:tr>
        <w:trPr/>
        <w:tc>
          <w:tcPr>
            <w:tcW w:w="18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3FAFF" w:val="clear"/>
            <w:tcMar>
              <w:left w:w="79" w:type="dxa"/>
            </w:tcMar>
            <w:vAlign w:val="center"/>
          </w:tcPr>
          <w:p>
            <w:pPr>
              <w:pStyle w:val="Style20"/>
              <w:spacing w:before="0" w:after="0"/>
              <w:ind w:left="0" w:right="0" w:hanging="0"/>
              <w:rPr>
                <w:rFonts w:eastAsia="黑体"/>
                <w:b w:val="false"/>
                <w:b w:val="false"/>
                <w:bCs w:val="false"/>
              </w:rPr>
            </w:pPr>
            <w:r>
              <w:rPr>
                <w:rFonts w:eastAsia="黑体"/>
                <w:b w:val="false"/>
                <w:bCs w:val="false"/>
              </w:rPr>
              <w:t>合约到期月份</w:t>
            </w:r>
          </w:p>
        </w:tc>
        <w:tc>
          <w:tcPr>
            <w:tcW w:w="81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19"/>
              <w:spacing w:before="0" w:after="0"/>
              <w:ind w:left="0" w:right="0" w:hanging="0"/>
              <w:rPr/>
            </w:pPr>
            <w:r>
              <w:rPr/>
              <w:t>当月、下月及随后两个季月。</w:t>
            </w:r>
            <w:r>
              <w:rPr/>
              <w:t>季月是指</w:t>
            </w:r>
            <w:r>
              <w:rPr/>
              <w:t>3</w:t>
            </w:r>
            <w:r>
              <w:rPr/>
              <w:t>月、</w:t>
            </w:r>
            <w:r>
              <w:rPr/>
              <w:t>6</w:t>
            </w:r>
            <w:r>
              <w:rPr/>
              <w:t>月、</w:t>
            </w:r>
            <w:r>
              <w:rPr/>
              <w:t>9</w:t>
            </w:r>
            <w:r>
              <w:rPr/>
              <w:t>月、</w:t>
            </w:r>
            <w:r>
              <w:rPr/>
              <w:t>12</w:t>
            </w:r>
            <w:r>
              <w:rPr/>
              <w:t>月。</w:t>
            </w:r>
          </w:p>
        </w:tc>
      </w:tr>
      <w:tr>
        <w:trPr/>
        <w:tc>
          <w:tcPr>
            <w:tcW w:w="18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3FAFF" w:val="clear"/>
            <w:tcMar>
              <w:left w:w="79" w:type="dxa"/>
            </w:tcMar>
            <w:vAlign w:val="center"/>
          </w:tcPr>
          <w:p>
            <w:pPr>
              <w:pStyle w:val="Style20"/>
              <w:spacing w:before="0" w:after="0"/>
              <w:ind w:left="0" w:right="0" w:hanging="0"/>
              <w:rPr>
                <w:rFonts w:eastAsia="黑体"/>
                <w:b w:val="false"/>
                <w:b w:val="false"/>
                <w:bCs w:val="false"/>
              </w:rPr>
            </w:pPr>
            <w:r>
              <w:rPr>
                <w:rFonts w:eastAsia="黑体"/>
                <w:b w:val="false"/>
                <w:bCs w:val="false"/>
              </w:rPr>
              <w:t>合约最后交易日</w:t>
            </w:r>
          </w:p>
        </w:tc>
        <w:tc>
          <w:tcPr>
            <w:tcW w:w="81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19"/>
              <w:spacing w:before="0" w:after="0"/>
              <w:ind w:left="0" w:right="0" w:hanging="0"/>
              <w:rPr/>
            </w:pPr>
            <w:r>
              <w:rPr/>
              <w:t>到期月份的第四个星期三（遇法定节假日顺延）。</w:t>
            </w:r>
            <w:r>
              <w:rPr/>
              <w:t>合约到期日、合约行权日同最后交易日。</w:t>
            </w:r>
          </w:p>
        </w:tc>
      </w:tr>
      <w:tr>
        <w:trPr/>
        <w:tc>
          <w:tcPr>
            <w:tcW w:w="18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3FAFF" w:val="clear"/>
            <w:tcMar>
              <w:left w:w="79" w:type="dxa"/>
            </w:tcMar>
            <w:vAlign w:val="center"/>
          </w:tcPr>
          <w:p>
            <w:pPr>
              <w:pStyle w:val="Style20"/>
              <w:spacing w:before="0" w:after="0"/>
              <w:ind w:left="0" w:right="0" w:hanging="0"/>
              <w:rPr>
                <w:rFonts w:eastAsia="黑体"/>
                <w:b w:val="false"/>
                <w:b w:val="false"/>
                <w:bCs w:val="false"/>
              </w:rPr>
            </w:pPr>
            <w:r>
              <w:rPr>
                <w:rFonts w:eastAsia="黑体"/>
                <w:b w:val="false"/>
                <w:bCs w:val="false"/>
              </w:rPr>
              <w:t>履约方式</w:t>
            </w:r>
          </w:p>
        </w:tc>
        <w:tc>
          <w:tcPr>
            <w:tcW w:w="81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19"/>
              <w:spacing w:before="0" w:after="0"/>
              <w:ind w:left="0" w:right="0" w:hanging="0"/>
              <w:rPr/>
            </w:pPr>
            <w:r>
              <w:rPr/>
              <w:t>欧式（仅在规定的到期日方可行权）</w:t>
            </w:r>
          </w:p>
        </w:tc>
      </w:tr>
      <w:tr>
        <w:trPr/>
        <w:tc>
          <w:tcPr>
            <w:tcW w:w="18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3FAFF" w:val="clear"/>
            <w:tcMar>
              <w:left w:w="79" w:type="dxa"/>
            </w:tcMar>
            <w:vAlign w:val="center"/>
          </w:tcPr>
          <w:p>
            <w:pPr>
              <w:pStyle w:val="Style20"/>
              <w:spacing w:before="0" w:after="0"/>
              <w:ind w:left="0" w:right="0" w:hanging="0"/>
              <w:rPr>
                <w:rFonts w:eastAsia="黑体"/>
                <w:b w:val="false"/>
                <w:b w:val="false"/>
                <w:bCs w:val="false"/>
              </w:rPr>
            </w:pPr>
            <w:r>
              <w:rPr>
                <w:rFonts w:eastAsia="黑体"/>
                <w:b w:val="false"/>
                <w:bCs w:val="false"/>
              </w:rPr>
              <w:t>行权价格</w:t>
            </w:r>
          </w:p>
        </w:tc>
        <w:tc>
          <w:tcPr>
            <w:tcW w:w="81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19"/>
              <w:spacing w:before="0" w:after="0"/>
              <w:ind w:left="0" w:right="0" w:hanging="0"/>
              <w:rPr/>
            </w:pPr>
            <w:r>
              <w:rPr/>
              <w:t>对于同一标的证券每一个到期月份的合约，行权价格序列包括</w:t>
            </w:r>
            <w:r>
              <w:rPr/>
              <w:t>1</w:t>
            </w:r>
            <w:r>
              <w:rPr/>
              <w:t>个平值、</w:t>
            </w:r>
            <w:r>
              <w:rPr/>
              <w:t>2</w:t>
            </w:r>
            <w:r>
              <w:rPr/>
              <w:t>个实值、</w:t>
            </w:r>
            <w:r>
              <w:rPr/>
              <w:t>2</w:t>
            </w:r>
            <w:r>
              <w:rPr/>
              <w:t>个虚值</w:t>
            </w:r>
          </w:p>
        </w:tc>
      </w:tr>
      <w:tr>
        <w:trPr/>
        <w:tc>
          <w:tcPr>
            <w:tcW w:w="187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F3FAFF" w:val="clear"/>
            <w:tcMar>
              <w:left w:w="79" w:type="dxa"/>
            </w:tcMar>
            <w:vAlign w:val="center"/>
          </w:tcPr>
          <w:p>
            <w:pPr>
              <w:pStyle w:val="Style20"/>
              <w:spacing w:before="0" w:after="0"/>
              <w:ind w:left="0" w:right="0" w:hanging="0"/>
              <w:rPr>
                <w:rFonts w:eastAsia="黑体"/>
                <w:b w:val="false"/>
                <w:b w:val="false"/>
                <w:bCs w:val="false"/>
              </w:rPr>
            </w:pPr>
            <w:r>
              <w:rPr>
                <w:rFonts w:eastAsia="黑体"/>
                <w:b w:val="false"/>
                <w:bCs w:val="false"/>
              </w:rPr>
              <w:t>合约交割方式</w:t>
            </w:r>
          </w:p>
        </w:tc>
        <w:tc>
          <w:tcPr>
            <w:tcW w:w="8172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  <w:tcMar>
              <w:left w:w="79" w:type="dxa"/>
            </w:tcMar>
            <w:vAlign w:val="center"/>
          </w:tcPr>
          <w:p>
            <w:pPr>
              <w:pStyle w:val="Style19"/>
              <w:spacing w:before="0" w:after="0"/>
              <w:rPr/>
            </w:pPr>
            <w:r>
              <w:rPr/>
              <w:t>实物交割</w:t>
            </w:r>
          </w:p>
        </w:tc>
      </w:tr>
    </w:tbl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p>
      <w:pPr>
        <w:pStyle w:val="Normal"/>
        <w:rPr>
          <w:rFonts w:ascii="Consolas" w:hAnsi="Consolas" w:eastAsia="Consolas"/>
        </w:rPr>
      </w:pPr>
      <w:r>
        <w:rPr>
          <w:rFonts w:ascii="Consolas" w:hAnsi="Consolas" w:eastAsia="Consolas"/>
        </w:rPr>
        <w:t>「合约单位」指单张合约对应的标的证券的数量。</w:t>
      </w:r>
      <w:r>
        <w:rPr>
          <w:rFonts w:ascii="Consolas" w:hAnsi="Consolas" w:eastAsia="Consolas"/>
        </w:rPr>
        <w:t>当标的证券因发生权益分配、公积金转增股本、配股等情况而被作出除权、除息处理时，期权合约的合约单位也需要作相应调整。</w:t>
      </w:r>
    </w:p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p>
      <w:pPr>
        <w:pStyle w:val="Normal"/>
        <w:rPr>
          <w:rFonts w:ascii="Consolas" w:hAnsi="Consolas" w:eastAsia="Consolas"/>
        </w:rPr>
      </w:pPr>
      <w:r>
        <w:rPr>
          <w:rFonts w:ascii="Consolas" w:hAnsi="Consolas" w:eastAsia="Consolas"/>
        </w:rPr>
        <w:t>合约编码为</w:t>
      </w:r>
      <w:r>
        <w:rPr>
          <w:rFonts w:eastAsia="Consolas" w:ascii="Consolas" w:hAnsi="Consolas"/>
        </w:rPr>
        <w:t>8</w:t>
      </w:r>
      <w:r>
        <w:rPr>
          <w:rFonts w:ascii="Consolas" w:hAnsi="Consolas" w:eastAsia="Consolas"/>
        </w:rPr>
        <w:t>位数字。 例如：</w:t>
      </w:r>
      <w:r>
        <w:rPr>
          <w:rFonts w:eastAsia="Consolas" w:ascii="Consolas" w:hAnsi="Consolas"/>
        </w:rPr>
        <w:t>90000001</w:t>
      </w:r>
    </w:p>
    <w:p>
      <w:pPr>
        <w:pStyle w:val="Normal"/>
        <w:rPr>
          <w:rFonts w:ascii="Consolas" w:hAnsi="Consolas" w:eastAsia="Consolas"/>
        </w:rPr>
      </w:pPr>
      <w:r>
        <w:rPr>
          <w:rFonts w:ascii="Consolas" w:hAnsi="Consolas" w:eastAsia="Consolas"/>
        </w:rPr>
        <w:t>　　●</w:t>
      </w:r>
      <w:r>
        <w:rPr>
          <w:rFonts w:eastAsia="Consolas" w:ascii="Consolas" w:hAnsi="Consolas"/>
        </w:rPr>
        <w:t>ETF</w:t>
      </w:r>
      <w:r>
        <w:rPr>
          <w:rFonts w:ascii="Consolas" w:hAnsi="Consolas" w:eastAsia="Consolas"/>
        </w:rPr>
        <w:t>期权合约从</w:t>
      </w:r>
      <w:r>
        <w:rPr>
          <w:rFonts w:eastAsia="Consolas" w:ascii="Consolas" w:hAnsi="Consolas"/>
        </w:rPr>
        <w:t>90000001</w:t>
      </w:r>
      <w:r>
        <w:rPr>
          <w:rFonts w:ascii="Consolas" w:hAnsi="Consolas" w:eastAsia="Consolas"/>
        </w:rPr>
        <w:t>起按序对新挂牌合约进行编排，唯一，不复用。</w:t>
      </w:r>
    </w:p>
    <w:p>
      <w:pPr>
        <w:pStyle w:val="Normal"/>
        <w:rPr>
          <w:rFonts w:ascii="Consolas" w:hAnsi="Consolas" w:eastAsia="Consolas"/>
        </w:rPr>
      </w:pPr>
      <w:r>
        <w:rPr>
          <w:rFonts w:ascii="Consolas" w:hAnsi="Consolas" w:eastAsia="Consolas"/>
        </w:rPr>
        <w:t>　　●股票期权合约从</w:t>
      </w:r>
      <w:r>
        <w:rPr>
          <w:rFonts w:eastAsia="Consolas" w:ascii="Consolas" w:hAnsi="Consolas"/>
        </w:rPr>
        <w:t>10000001</w:t>
      </w:r>
      <w:r>
        <w:rPr>
          <w:rFonts w:ascii="Consolas" w:hAnsi="Consolas" w:eastAsia="Consolas"/>
        </w:rPr>
        <w:t>起按序对新挂牌合约进行编排，唯一，不复用。</w:t>
      </w:r>
    </w:p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p>
      <w:pPr>
        <w:pStyle w:val="Normal"/>
        <w:rPr>
          <w:rFonts w:ascii="Consolas" w:hAnsi="Consolas" w:eastAsia="Consolas"/>
        </w:rPr>
      </w:pPr>
      <w:r>
        <w:rPr>
          <w:rFonts w:ascii="Consolas" w:hAnsi="Consolas" w:eastAsia="Consolas"/>
        </w:rPr>
        <w:t>合约交易代码为</w:t>
      </w:r>
      <w:r>
        <w:rPr>
          <w:rFonts w:eastAsia="Consolas" w:ascii="Consolas" w:hAnsi="Consolas"/>
        </w:rPr>
        <w:t>17</w:t>
      </w:r>
      <w:r>
        <w:rPr>
          <w:rFonts w:ascii="Consolas" w:hAnsi="Consolas" w:eastAsia="Consolas"/>
        </w:rPr>
        <w:t>位。</w:t>
      </w:r>
    </w:p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p>
      <w:pPr>
        <w:pStyle w:val="Normal"/>
        <w:rPr>
          <w:rFonts w:ascii="Consolas" w:hAnsi="Consolas" w:eastAsia="Consolas"/>
        </w:rPr>
      </w:pPr>
      <w:hyperlink r:id="rId2">
        <w:r>
          <w:rPr>
            <w:rStyle w:val="Internet"/>
            <w:rFonts w:eastAsia="Consolas" w:ascii="Consolas" w:hAnsi="Consolas"/>
          </w:rPr>
          <w:t>http://edu.sse.com.cn/col/option/demo-trading/step5/step5_4/</w:t>
        </w:r>
      </w:hyperlink>
    </w:p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p>
      <w:pPr>
        <w:pStyle w:val="Normal"/>
        <w:rPr>
          <w:rFonts w:ascii="Consolas" w:hAnsi="Consolas" w:eastAsia="Consolas"/>
        </w:rPr>
      </w:pPr>
      <w:r>
        <w:rPr>
          <w:rFonts w:eastAsia="Consolas" w:ascii="Consolas" w:hAnsi="Consolas"/>
        </w:rPr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Arial"/>
      <w:color w:val="auto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sse.com.cn/col/option/demo-trading/step5/step5_4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LibreOffice/5.3.2.2$Windows_X86_64 LibreOffice_project/6cd4f1ef626f15116896b1d8e1398b56da0d0ee1</Application>
  <Pages>1</Pages>
  <Words>350</Words>
  <Characters>463</Characters>
  <CharactersWithSpaces>472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2017-07-10T22:24:23Z</dcterms:created>
  <dc:creator/>
  <dc:description/>
  <dc:language>zh-CN</dc:language>
  <cp:lastModifiedBy/>
  <dcterms:modified xsi:type="dcterms:W3CDTF">2017-07-10T23:06:57Z</dcterms:modified>
  <cp:revision>1</cp:revision>
  <dc:subject/>
  <dc:title/>
</cp:coreProperties>
</file>