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color="D7DDE5" w:space="0"/>
          <w:left w:val="single" w:sz="4" w:color="D7DDE5" w:space="0"/>
          <w:bottom w:val="single" w:sz="4" w:color="D7DDE5" w:space="0"/>
          <w:right w:val="single" w:sz="4" w:color="D7DDE5" w:space="0"/>
          <w:insideH w:val="single" w:sz="4" w:color="D7DDE5" w:space="0"/>
          <w:insideV w:val="single" w:sz="4" w:color="D7DDE5" w:space="0"/>
        </w:tblBorders>
      </w:tblPr>
      <w:tblGrid>
        <w:gridCol w:w="5043"/>
        <w:gridCol w:w="5043"/>
      </w:tblGrid>
      <w:tr>
        <w:tc>
          <w:tcPr>
            <w:tcW w:type="dxa" w:w="5043"/>
            <w:shd w:fill="12263A" w:val="clear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12263A" w:space="0"/>
              <w:left w:val="single" w:sz="4" w:color="12263A" w:space="0"/>
              <w:bottom w:val="single" w:sz="4" w:color="B08D3A" w:space="0"/>
              <w:right w:val="single" w:sz="4" w:color="12263A" w:space="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ACADEMIC PUBLICATION PLAN  ·  MESPOM CAPSTONE</w:t>
            </w:r>
          </w:p>
        </w:tc>
        <w:tc>
          <w:tcPr>
            <w:tcW w:type="dxa" w:w="5043"/>
            <w:shd w:fill="12263A" w:val="clear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12263A" w:space="0"/>
              <w:left w:val="single" w:sz="4" w:color="12263A" w:space="0"/>
              <w:bottom w:val="single" w:sz="4" w:color="B08D3A" w:space="0"/>
              <w:right w:val="single" w:sz="4" w:color="12263A" w:space="0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August 2026  ·  Optional review: Prof. Ian Kane</w:t>
            </w:r>
          </w:p>
        </w:tc>
      </w:tr>
    </w:tbl>
    <w:p>
      <w:pPr>
        <w:spacing w:after="160" w:before="0" w:line="259" w:lineRule="auto"/>
      </w:pPr>
    </w:p>
    <w:p>
      <w:pPr>
        <w:spacing w:after="40" w:before="80" w:line="259" w:lineRule="auto"/>
      </w:pPr>
      <w:r>
        <w:rPr>
          <w:rFonts w:ascii="Arial" w:hAnsi="Arial" w:eastAsia="Arial" w:cs="Arial"/>
          <w:b/>
          <w:i w:val="0"/>
          <w:color w:val="12263A"/>
          <w:sz w:val="28"/>
        </w:rPr>
        <w:t>From path-dependent industrial policy to opportunity-cost accounting</w:t>
      </w:r>
    </w:p>
    <w:p>
      <w:pPr>
        <w:spacing w:after="160" w:before="0" w:line="259" w:lineRule="auto"/>
      </w:pPr>
      <w:r>
        <w:rPr>
          <w:rFonts w:ascii="Arial" w:hAnsi="Arial" w:eastAsia="Arial" w:cs="Arial"/>
          <w:b w:val="0"/>
          <w:i/>
          <w:color w:val="5C6774"/>
          <w:sz w:val="22"/>
        </w:rPr>
        <w:t>CCS, UK ETS prices and alternative abatement in the Peak Cluster case</w:t>
      </w:r>
    </w:p>
    <w:p>
      <w:pPr>
        <w:spacing w:after="20" w:before="40" w:line="259" w:lineRule="auto"/>
      </w:pPr>
      <w:r>
        <w:rPr>
          <w:rFonts w:ascii="Arial" w:hAnsi="Arial" w:eastAsia="Arial" w:cs="Arial"/>
          <w:b/>
          <w:i w:val="0"/>
          <w:color w:val="12263A"/>
          <w:sz w:val="24"/>
        </w:rPr>
        <w:t>Alhassan Abdulai</w:t>
      </w:r>
    </w:p>
    <w:p>
      <w:pPr>
        <w:spacing w:after="20" w:before="0" w:line="259" w:lineRule="auto"/>
      </w:pPr>
      <w:r>
        <w:rPr>
          <w:rFonts w:ascii="Arial" w:hAnsi="Arial" w:eastAsia="Arial" w:cs="Arial"/>
          <w:b w:val="0"/>
          <w:i/>
          <w:color w:val="1C2430"/>
          <w:sz w:val="20"/>
        </w:rPr>
        <w:t>MSc Environmental Sciences, Policy and Management (MESPOM) — Erasmus Mundus Joint Master’s</w:t>
      </w:r>
    </w:p>
    <w:p>
      <w:pPr>
        <w:spacing w:after="20" w:before="0" w:line="259" w:lineRule="auto"/>
      </w:pPr>
      <w:r>
        <w:rPr>
          <w:rFonts w:ascii="Arial" w:hAnsi="Arial" w:eastAsia="Arial" w:cs="Arial"/>
          <w:b w:val="0"/>
          <w:i w:val="0"/>
          <w:color w:val="1C2430"/>
          <w:sz w:val="20"/>
        </w:rPr>
        <w:t>Universities attended: Central European University (Vienna)  ·  University of the Aegean (Lesvos)  ·  University of Manchester</w:t>
      </w:r>
    </w:p>
    <w:p>
      <w:pPr>
        <w:spacing w:after="20" w:before="0" w:line="259" w:lineRule="auto"/>
      </w:pPr>
      <w:r>
        <w:rPr>
          <w:rFonts w:ascii="Arial" w:hAnsi="Arial" w:eastAsia="Arial" w:cs="Arial"/>
          <w:b w:val="0"/>
          <w:i w:val="0"/>
          <w:color w:val="5C6774"/>
          <w:sz w:val="19"/>
        </w:rPr>
        <w:t>Awarded with Distinction (GPA 3.73)  ·  2026  ·  Supervisor: Prof. Ian Kane (University of Manchester)</w:t>
      </w:r>
    </w:p>
    <w:p>
      <w:pPr>
        <w:spacing w:after="160" w:before="0" w:line="259" w:lineRule="auto"/>
      </w:pPr>
      <w:r>
        <w:rPr>
          <w:rFonts w:ascii="Arial" w:hAnsi="Arial" w:eastAsia="Arial" w:cs="Arial"/>
          <w:b w:val="0"/>
          <w:i/>
          <w:color w:val="5C6774"/>
          <w:sz w:val="18"/>
        </w:rPr>
        <w:t>Also: MSc Climate Change Engineering, Pan African University / Université Abou Bekr Belkaïd (PAUWES); BSc Agribusiness, First Class, University for Development Studies (Ghana).</w:t>
      </w:r>
    </w:p>
    <w:p>
      <w:pPr>
        <w:spacing w:after="80" w:before="220" w:line="259" w:lineRule="auto"/>
        <w:pBdr>
          <w:bottom w:val="single" w:sz="8" w:space="2" w:color="B08D3A"/>
        </w:pBdr>
      </w:pPr>
      <w:r>
        <w:rPr>
          <w:rFonts w:ascii="Arial" w:hAnsi="Arial" w:eastAsia="Arial" w:cs="Arial"/>
          <w:b/>
          <w:i w:val="0"/>
          <w:color w:val="12263A"/>
          <w:sz w:val="20"/>
        </w:rPr>
        <w:t>TARGET JOURNALS</w:t>
      </w:r>
    </w:p>
    <w:p>
      <w:pPr>
        <w:spacing w:after="80" w:before="0" w:line="259" w:lineRule="auto"/>
      </w:pPr>
      <w:r>
        <w:rPr>
          <w:rFonts w:ascii="Arial" w:hAnsi="Arial" w:eastAsia="Arial" w:cs="Arial"/>
          <w:b w:val="0"/>
          <w:i w:val="0"/>
          <w:color w:val="1C2430"/>
          <w:sz w:val="21"/>
        </w:rPr>
        <w:t>Primary: Energy Research &amp; Social Science — mixed-methods energy-policy case, not process engineering. Secondary: Climate Policy, if the manuscript is cut toward instrument design (ICC CfD, cluster sequencing, diversification clauses). Reserve: Environmental Innovation and Societal Transitions, if the theoretical claim is placed in the foreground and the TEA moved to an annex. Nature Energy and Applied Energy are not appropriate: the Monte Carlo is literature-parameterised, not a new capture-plant model.</w:t>
      </w:r>
    </w:p>
    <w:p>
      <w:pPr>
        <w:spacing w:after="120" w:before="0" w:line="259" w:lineRule="auto"/>
      </w:pPr>
      <w:r>
        <w:rPr>
          <w:rFonts w:ascii="Arial" w:hAnsi="Arial" w:eastAsia="Arial" w:cs="Arial"/>
          <w:b w:val="0"/>
          <w:i w:val="0"/>
          <w:color w:val="1C2430"/>
          <w:sz w:val="21"/>
        </w:rPr>
        <w:t>Working length: 7,000–8,000 words (ERSS research article). Authorship: Alhassan Abdulai (sole), with optional co-authorship by Prof. Kane.</w:t>
      </w:r>
    </w:p>
    <w:p>
      <w:pPr>
        <w:spacing w:after="80" w:before="220" w:line="259" w:lineRule="auto"/>
        <w:pBdr>
          <w:bottom w:val="single" w:sz="8" w:space="2" w:color="B08D3A"/>
        </w:pBdr>
      </w:pPr>
      <w:r>
        <w:rPr>
          <w:rFonts w:ascii="Arial" w:hAnsi="Arial" w:eastAsia="Arial" w:cs="Arial"/>
          <w:b/>
          <w:i w:val="0"/>
          <w:color w:val="12263A"/>
          <w:sz w:val="20"/>
        </w:rPr>
        <w:t>WHAT IS NOT ALREADY IN THE GREY LITERATURE</w:t>
      </w:r>
    </w:p>
    <w:p>
      <w:pPr>
        <w:spacing w:after="60" w:before="0" w:line="259" w:lineRule="auto"/>
        <w:ind w:left="255" w:hanging="255"/>
      </w:pPr>
      <w:r>
        <w:rPr>
          <w:rFonts w:ascii="Arial" w:hAnsi="Arial" w:eastAsia="Arial" w:cs="Arial"/>
          <w:b w:val="0"/>
          <w:i w:val="0"/>
          <w:color w:val="12263A"/>
          <w:sz w:val="21"/>
        </w:rPr>
        <w:t xml:space="preserve">•  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>Separates PRTR-reported 2.248 Mt/yr from ICC design 3 Mt/yr in a live UK cluster.</w:t>
      </w:r>
    </w:p>
    <w:p>
      <w:pPr>
        <w:spacing w:after="60" w:before="0" w:line="259" w:lineRule="auto"/>
        <w:ind w:left="255" w:hanging="255"/>
      </w:pPr>
      <w:r>
        <w:rPr>
          <w:rFonts w:ascii="Arial" w:hAnsi="Arial" w:eastAsia="Arial" w:cs="Arial"/>
          <w:b w:val="0"/>
          <w:i w:val="0"/>
          <w:color w:val="12263A"/>
          <w:sz w:val="21"/>
        </w:rPr>
        <w:t xml:space="preserve">•  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>Places full-chain MEA LCO₂A (median USD 131.4/t) against UK carbon-price markers and reports the implied 15-year ICC bill at design throughput.</w:t>
      </w:r>
    </w:p>
    <w:p>
      <w:pPr>
        <w:spacing w:after="60" w:before="0" w:line="259" w:lineRule="auto"/>
        <w:ind w:left="255" w:hanging="255"/>
      </w:pPr>
      <w:r>
        <w:rPr>
          <w:rFonts w:ascii="Arial" w:hAnsi="Arial" w:eastAsia="Arial" w:cs="Arial"/>
          <w:b w:val="0"/>
          <w:i w:val="0"/>
          <w:color w:val="12263A"/>
          <w:sz w:val="21"/>
        </w:rPr>
        <w:t xml:space="preserve">•  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>Shows that institutional lock-in (mean 4.4/7; Peak Cluster materials = 7) co-occurs with an SLO distribution that has no approval cell — lock-in without legitimacy.</w:t>
      </w:r>
    </w:p>
    <w:p>
      <w:pPr>
        <w:spacing w:after="60" w:before="0" w:line="259" w:lineRule="auto"/>
        <w:ind w:left="255" w:hanging="255"/>
      </w:pPr>
      <w:r>
        <w:rPr>
          <w:rFonts w:ascii="Arial" w:hAnsi="Arial" w:eastAsia="Arial" w:cs="Arial"/>
          <w:b w:val="0"/>
          <w:i w:val="0"/>
          <w:color w:val="12263A"/>
          <w:sz w:val="21"/>
        </w:rPr>
        <w:t xml:space="preserve">•  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>Treats Development Consent Order as the point where path dependence and path change are still both possible.</w:t>
      </w:r>
    </w:p>
    <w:p>
      <w:pPr>
        <w:spacing w:after="80" w:before="220" w:line="259" w:lineRule="auto"/>
        <w:pBdr>
          <w:bottom w:val="single" w:sz="8" w:space="2" w:color="B08D3A"/>
        </w:pBdr>
      </w:pPr>
      <w:r>
        <w:rPr>
          <w:rFonts w:ascii="Arial" w:hAnsi="Arial" w:eastAsia="Arial" w:cs="Arial"/>
          <w:b/>
          <w:i w:val="0"/>
          <w:color w:val="12263A"/>
          <w:sz w:val="20"/>
        </w:rPr>
        <w:t>EXTENDED ABSTRACT</w:t>
      </w:r>
    </w:p>
    <w:p>
      <w:pPr>
        <w:spacing w:after="120" w:before="0" w:line="259" w:lineRule="auto"/>
      </w:pPr>
      <w:r>
        <w:rPr>
          <w:rFonts w:ascii="Arial" w:hAnsi="Arial" w:eastAsia="Arial" w:cs="Arial"/>
          <w:b w:val="0"/>
          <w:i w:val="0"/>
          <w:color w:val="1C2430"/>
          <w:sz w:val="21"/>
        </w:rPr>
        <w:t>The United Kingdom has organised industrial carbon capture around cluster sequencing and the Industrial Carbon Capture business model, a contract-for-difference that pays the gap between a negotiated strike price and the UK ETS reference. Peak Cluster is an early test of that architecture in a hard-to-abate minerals sector. This article asks whether that architecture is an efficient use of public abatement expenditure, and whether it can proceed without a social licence.</w:t>
      </w:r>
    </w:p>
    <w:p>
      <w:pPr>
        <w:spacing w:after="120" w:before="0" w:line="259" w:lineRule="auto"/>
      </w:pPr>
      <w:r>
        <w:rPr>
          <w:rFonts w:ascii="Arial" w:hAnsi="Arial" w:eastAsia="Arial" w:cs="Arial"/>
          <w:b w:val="0"/>
          <w:i w:val="0"/>
          <w:color w:val="1C2430"/>
          <w:sz w:val="21"/>
        </w:rPr>
        <w:t>A convergent mixed-methods case study combines (i) lock-in coding of fifteen policy and industry documents, (ii) 10,000-iteration Monte Carlo simulation of full-chain LCO₂A for five capture options, tornado sensitivity and a sectoral MAC curve, and (iii) frame and SLO coding of 191 records. Subsidy cases use the 3 Mt/yr ICC design throughput, not the PRTR total of 2.248 Mt/yr.</w:t>
      </w:r>
    </w:p>
    <w:p>
      <w:pPr>
        <w:spacing w:after="120" w:before="0" w:line="259" w:lineRule="auto"/>
      </w:pPr>
      <w:r>
        <w:rPr>
          <w:rFonts w:ascii="Arial" w:hAnsi="Arial" w:eastAsia="Arial" w:cs="Arial"/>
          <w:b w:val="0"/>
          <w:i w:val="0"/>
          <w:color w:val="1C2430"/>
          <w:sz w:val="21"/>
        </w:rPr>
        <w:t>Mean lock-in is 4.4 / 7. Post-combustion MEA has a median LCO₂A of USD 131.4/t (P5–P95 113.8–149.7) against a 2026 UK ETS civil-penalty reference of USD 65.2/t. The implied subsidy is about USD 66.2/t, or ~USD 199 million per year at design throughput if the low price path holds. Efficiency, LC3/SCM substitution and alternative fuels occupy the left of the MAC (mid-points USD 6.6, 33.0 and 37.0/t). Public discourse does not license the project: 51% scrutiny, 49% withholding; frames of place identity (49%) and procedure (34%).</w:t>
      </w:r>
    </w:p>
    <w:p>
      <w:pPr>
        <w:spacing w:after="120" w:before="0" w:line="259" w:lineRule="auto"/>
      </w:pPr>
      <w:r>
        <w:rPr>
          <w:rFonts w:ascii="Arial" w:hAnsi="Arial" w:eastAsia="Arial" w:cs="Arial"/>
          <w:b w:val="0"/>
          <w:i w:val="0"/>
          <w:color w:val="1C2430"/>
          <w:sz w:val="21"/>
        </w:rPr>
        <w:t>The joint finding is a generative mechanism. Instruments that make CCS contractable also read, to affected communities, as procedural pre-determination. Cement CCS is not shown to be unnecessary; it is shown to be premature as an exclusive 15-year public commitment under present prices and present licence conditions.</w:t>
      </w:r>
    </w:p>
    <w:p>
      <w:pPr>
        <w:spacing w:after="80" w:before="220" w:line="259" w:lineRule="auto"/>
        <w:pBdr>
          <w:bottom w:val="single" w:sz="8" w:space="2" w:color="B08D3A"/>
        </w:pBdr>
      </w:pPr>
      <w:r>
        <w:rPr>
          <w:rFonts w:ascii="Arial" w:hAnsi="Arial" w:eastAsia="Arial" w:cs="Arial"/>
          <w:b/>
          <w:i w:val="0"/>
          <w:color w:val="12263A"/>
          <w:sz w:val="20"/>
        </w:rPr>
        <w:t>MANUSCRIPT PLAN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color="D7DDE5" w:space="0"/>
          <w:left w:val="single" w:sz="4" w:color="D7DDE5" w:space="0"/>
          <w:bottom w:val="single" w:sz="4" w:color="D7DDE5" w:space="0"/>
          <w:right w:val="single" w:sz="4" w:color="D7DDE5" w:space="0"/>
          <w:insideH w:val="single" w:sz="4" w:color="D7DDE5" w:space="0"/>
          <w:insideV w:val="single" w:sz="4" w:color="D7DDE5" w:space="0"/>
        </w:tblBorders>
      </w:tblPr>
      <w:tblGrid>
        <w:gridCol w:w="5043"/>
        <w:gridCol w:w="5043"/>
      </w:tblGrid>
      <w:tr>
        <w:tc>
          <w:tcPr>
            <w:tcW w:type="dxa" w:w="5043"/>
            <w:shd w:fill="12263A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5043"/>
            <w:shd w:fill="12263A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LENGTH</w:t>
            </w:r>
          </w:p>
        </w:tc>
      </w:tr>
      <w:tr>
        <w:tc>
          <w:tcPr>
            <w:tcW w:type="dxa" w:w="5043"/>
            <w:shd w:fill="FFFFFF" w:val="clear"/>
            <w:tcMar>
              <w:top w:w="45" w:type="dxa"/>
              <w:left w:w="90" w:type="dxa"/>
              <w:bottom w:w="45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1C2430"/>
                <w:sz w:val="19"/>
              </w:rPr>
              <w:t>Introduction — cluster sequencing, ICC CfD, three questions</w:t>
            </w:r>
          </w:p>
        </w:tc>
        <w:tc>
          <w:tcPr>
            <w:tcW w:type="dxa" w:w="5043"/>
            <w:shd w:fill="FFFFFF" w:val="clear"/>
            <w:tcMar>
              <w:top w:w="45" w:type="dxa"/>
              <w:left w:w="90" w:type="dxa"/>
              <w:bottom w:w="45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1C2430"/>
                <w:sz w:val="19"/>
              </w:rPr>
              <w:t>~900 words</w:t>
            </w:r>
          </w:p>
        </w:tc>
      </w:tr>
      <w:tr>
        <w:tc>
          <w:tcPr>
            <w:tcW w:type="dxa" w:w="5043"/>
            <w:shd w:fill="F4F6F8" w:val="clear"/>
            <w:tcMar>
              <w:top w:w="45" w:type="dxa"/>
              <w:left w:w="90" w:type="dxa"/>
              <w:bottom w:w="45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1C2430"/>
                <w:sz w:val="19"/>
              </w:rPr>
              <w:t>Framework — Unruh/Erickson/Seto lock-in; SLO; opportunity cost</w:t>
            </w:r>
          </w:p>
        </w:tc>
        <w:tc>
          <w:tcPr>
            <w:tcW w:type="dxa" w:w="5043"/>
            <w:shd w:fill="F4F6F8" w:val="clear"/>
            <w:tcMar>
              <w:top w:w="45" w:type="dxa"/>
              <w:left w:w="90" w:type="dxa"/>
              <w:bottom w:w="45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1C2430"/>
                <w:sz w:val="19"/>
              </w:rPr>
              <w:t>~1,100</w:t>
            </w:r>
          </w:p>
        </w:tc>
      </w:tr>
      <w:tr>
        <w:tc>
          <w:tcPr>
            <w:tcW w:type="dxa" w:w="5043"/>
            <w:shd w:fill="FFFFFF" w:val="clear"/>
            <w:tcMar>
              <w:top w:w="45" w:type="dxa"/>
              <w:left w:w="90" w:type="dxa"/>
              <w:bottom w:w="45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1C2430"/>
                <w:sz w:val="19"/>
              </w:rPr>
              <w:t>Methods — document scores; MC LCO₂A; MAC; discourse; integration</w:t>
            </w:r>
          </w:p>
        </w:tc>
        <w:tc>
          <w:tcPr>
            <w:tcW w:type="dxa" w:w="5043"/>
            <w:shd w:fill="FFFFFF" w:val="clear"/>
            <w:tcMar>
              <w:top w:w="45" w:type="dxa"/>
              <w:left w:w="90" w:type="dxa"/>
              <w:bottom w:w="45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1C2430"/>
                <w:sz w:val="19"/>
              </w:rPr>
              <w:t>~1,200</w:t>
            </w:r>
          </w:p>
        </w:tc>
      </w:tr>
      <w:tr>
        <w:tc>
          <w:tcPr>
            <w:tcW w:type="dxa" w:w="5043"/>
            <w:shd w:fill="F4F6F8" w:val="clear"/>
            <w:tcMar>
              <w:top w:w="45" w:type="dxa"/>
              <w:left w:w="90" w:type="dxa"/>
              <w:bottom w:w="45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1C2430"/>
                <w:sz w:val="19"/>
              </w:rPr>
              <w:t>Results — policy heatmap, TEA, SLO (no approval cell)</w:t>
            </w:r>
          </w:p>
        </w:tc>
        <w:tc>
          <w:tcPr>
            <w:tcW w:type="dxa" w:w="5043"/>
            <w:shd w:fill="F4F6F8" w:val="clear"/>
            <w:tcMar>
              <w:top w:w="45" w:type="dxa"/>
              <w:left w:w="90" w:type="dxa"/>
              <w:bottom w:w="45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1C2430"/>
                <w:sz w:val="19"/>
              </w:rPr>
              <w:t>~3,300</w:t>
            </w:r>
          </w:p>
        </w:tc>
      </w:tr>
      <w:tr>
        <w:tc>
          <w:tcPr>
            <w:tcW w:type="dxa" w:w="5043"/>
            <w:shd w:fill="FFFFFF" w:val="clear"/>
            <w:tcMar>
              <w:top w:w="45" w:type="dxa"/>
              <w:left w:w="90" w:type="dxa"/>
              <w:bottom w:w="45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1C2430"/>
                <w:sz w:val="19"/>
              </w:rPr>
              <w:t>Integration, discussion, conclusion</w:t>
            </w:r>
          </w:p>
        </w:tc>
        <w:tc>
          <w:tcPr>
            <w:tcW w:type="dxa" w:w="5043"/>
            <w:shd w:fill="FFFFFF" w:val="clear"/>
            <w:tcMar>
              <w:top w:w="45" w:type="dxa"/>
              <w:left w:w="90" w:type="dxa"/>
              <w:bottom w:w="45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1C2430"/>
                <w:sz w:val="19"/>
              </w:rPr>
              <w:t>~1,600</w:t>
            </w:r>
          </w:p>
        </w:tc>
      </w:tr>
    </w:tbl>
    <w:p>
      <w:pPr>
        <w:spacing w:after="80" w:before="40" w:line="259" w:lineRule="auto"/>
      </w:pPr>
    </w:p>
    <w:p>
      <w:pPr>
        <w:spacing w:after="80" w:before="220" w:line="259" w:lineRule="auto"/>
        <w:pBdr>
          <w:bottom w:val="single" w:sz="8" w:space="2" w:color="B08D3A"/>
        </w:pBdr>
      </w:pPr>
      <w:r>
        <w:rPr>
          <w:rFonts w:ascii="Arial" w:hAnsi="Arial" w:eastAsia="Arial" w:cs="Arial"/>
          <w:b/>
          <w:i w:val="0"/>
          <w:color w:val="12263A"/>
          <w:sz w:val="20"/>
        </w:rPr>
        <w:t>RISKS AND TIMELINE</w:t>
      </w:r>
    </w:p>
    <w:p>
      <w:pPr>
        <w:spacing w:after="60" w:before="0" w:line="259" w:lineRule="auto"/>
        <w:ind w:left="255" w:hanging="255"/>
      </w:pPr>
      <w:r>
        <w:rPr>
          <w:rFonts w:ascii="Arial" w:hAnsi="Arial" w:eastAsia="Arial" w:cs="Arial"/>
          <w:b w:val="0"/>
          <w:i w:val="0"/>
          <w:color w:val="12263A"/>
          <w:sz w:val="21"/>
        </w:rPr>
        <w:t xml:space="preserve">•  </w:t>
      </w:r>
      <w:r>
        <w:rPr>
          <w:rFonts w:ascii="Arial" w:hAnsi="Arial" w:eastAsia="Arial" w:cs="Arial"/>
          <w:b/>
          <w:i w:val="0"/>
          <w:color w:val="1C2430"/>
          <w:sz w:val="21"/>
        </w:rPr>
        <w:t>Dual publication.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 xml:space="preserve">  Rewrite for the journal; do not copy the dissertation chapter-for-chapter.</w:t>
      </w:r>
    </w:p>
    <w:p>
      <w:pPr>
        <w:spacing w:after="60" w:before="0" w:line="259" w:lineRule="auto"/>
        <w:ind w:left="255" w:hanging="255"/>
      </w:pPr>
      <w:r>
        <w:rPr>
          <w:rFonts w:ascii="Arial" w:hAnsi="Arial" w:eastAsia="Arial" w:cs="Arial"/>
          <w:b w:val="0"/>
          <w:i w:val="0"/>
          <w:color w:val="12263A"/>
          <w:sz w:val="21"/>
        </w:rPr>
        <w:t xml:space="preserve">•  </w:t>
      </w:r>
      <w:r>
        <w:rPr>
          <w:rFonts w:ascii="Arial" w:hAnsi="Arial" w:eastAsia="Arial" w:cs="Arial"/>
          <w:b/>
          <w:i w:val="0"/>
          <w:color w:val="1C2430"/>
          <w:sz w:val="21"/>
        </w:rPr>
        <w:t>Ethics.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 xml:space="preserve">  Aggregate the social-media corpus; do not reproduce identifiable posts.</w:t>
      </w:r>
    </w:p>
    <w:p>
      <w:pPr>
        <w:spacing w:after="60" w:before="0" w:line="259" w:lineRule="auto"/>
        <w:ind w:left="255" w:hanging="255"/>
      </w:pPr>
      <w:r>
        <w:rPr>
          <w:rFonts w:ascii="Arial" w:hAnsi="Arial" w:eastAsia="Arial" w:cs="Arial"/>
          <w:b w:val="0"/>
          <w:i w:val="0"/>
          <w:color w:val="12263A"/>
          <w:sz w:val="21"/>
        </w:rPr>
        <w:t xml:space="preserve">•  </w:t>
      </w:r>
      <w:r>
        <w:rPr>
          <w:rFonts w:ascii="Arial" w:hAnsi="Arial" w:eastAsia="Arial" w:cs="Arial"/>
          <w:b/>
          <w:i w:val="0"/>
          <w:color w:val="1C2430"/>
          <w:sz w:val="21"/>
        </w:rPr>
        <w:t>Desk-reject risk.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 xml:space="preserve">  If TEA is presented as a FEED-quality cost model. Mitigated by stating literature-parameter Monte Carlo in the first methods paragraph.</w:t>
      </w:r>
    </w:p>
    <w:p>
      <w:pPr>
        <w:spacing w:after="60" w:before="0" w:line="259" w:lineRule="auto"/>
        <w:ind w:left="255" w:hanging="255"/>
      </w:pPr>
      <w:r>
        <w:rPr>
          <w:rFonts w:ascii="Arial" w:hAnsi="Arial" w:eastAsia="Arial" w:cs="Arial"/>
          <w:b w:val="0"/>
          <w:i w:val="0"/>
          <w:color w:val="12263A"/>
          <w:sz w:val="21"/>
        </w:rPr>
        <w:t xml:space="preserve">•  </w:t>
      </w:r>
      <w:r>
        <w:rPr>
          <w:rFonts w:ascii="Arial" w:hAnsi="Arial" w:eastAsia="Arial" w:cs="Arial"/>
          <w:b/>
          <w:i w:val="0"/>
          <w:color w:val="1C2430"/>
          <w:sz w:val="21"/>
        </w:rPr>
        <w:t>Timeline.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 xml:space="preserve">  Recast October–November 2026; ERSS submission targeted Q4 2026 / Q1 2027.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907" w:right="1077" w:bottom="907" w:left="1077" w:header="397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left"/>
      <w:pBdr>
        <w:top w:val="single" w:sz="8" w:space="6" w:color="12263A"/>
      </w:pBdr>
    </w:pPr>
    <w:r/>
    <w:r>
      <w:rPr>
        <w:rFonts w:ascii="Arial" w:hAnsi="Arial" w:eastAsia="Arial" w:cs="Arial"/>
        <w:b w:val="0"/>
        <w:i w:val="0"/>
        <w:color w:val="5C6774"/>
        <w:sz w:val="16"/>
      </w:rPr>
      <w:t xml:space="preserve">Internal planning note  ·  not a submitted manuscript   ·   </w: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begin"/>
    </w:r>
    <w:r>
      <w:rPr>
        <w:rFonts w:ascii="Arial" w:hAnsi="Arial" w:eastAsia="Arial" w:cs="Arial"/>
        <w:b w:val="0"/>
        <w:i w:val="0"/>
        <w:color w:val="5C6774"/>
        <w:sz w:val="16"/>
      </w:rPr>
      <w:instrText xml:space="preserve"> PAGE </w:instrTex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end"/>
    </w:r>
    <w:r>
      <w:rPr>
        <w:rFonts w:ascii="Arial" w:hAnsi="Arial" w:eastAsia="Arial" w:cs="Arial"/>
        <w:b w:val="0"/>
        <w:i w:val="0"/>
        <w:color w:val="5C6774"/>
        <w:sz w:val="16"/>
      </w:rPr>
      <w:t xml:space="preserve"> of </w: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begin"/>
    </w:r>
    <w:r>
      <w:rPr>
        <w:rFonts w:ascii="Arial" w:hAnsi="Arial" w:eastAsia="Arial" w:cs="Arial"/>
        <w:b w:val="0"/>
        <w:i w:val="0"/>
        <w:color w:val="5C6774"/>
        <w:sz w:val="16"/>
      </w:rPr>
      <w:instrText xml:space="preserve"> NUMPAGES </w:instrTex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left"/>
      <w:pBdr>
        <w:top w:val="single" w:sz="8" w:space="6" w:color="12263A"/>
      </w:pBdr>
    </w:pPr>
    <w:r/>
    <w:r>
      <w:rPr>
        <w:rFonts w:ascii="Arial" w:hAnsi="Arial" w:eastAsia="Arial" w:cs="Arial"/>
        <w:b w:val="0"/>
        <w:i w:val="0"/>
        <w:color w:val="5C6774"/>
        <w:sz w:val="16"/>
      </w:rPr>
      <w:t xml:space="preserve">Internal planning note  ·  not a submitted manuscript   ·   </w: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begin"/>
    </w:r>
    <w:r>
      <w:rPr>
        <w:rFonts w:ascii="Arial" w:hAnsi="Arial" w:eastAsia="Arial" w:cs="Arial"/>
        <w:b w:val="0"/>
        <w:i w:val="0"/>
        <w:color w:val="5C6774"/>
        <w:sz w:val="16"/>
      </w:rPr>
      <w:instrText xml:space="preserve"> PAGE </w:instrTex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end"/>
    </w:r>
    <w:r>
      <w:rPr>
        <w:rFonts w:ascii="Arial" w:hAnsi="Arial" w:eastAsia="Arial" w:cs="Arial"/>
        <w:b w:val="0"/>
        <w:i w:val="0"/>
        <w:color w:val="5C6774"/>
        <w:sz w:val="16"/>
      </w:rPr>
      <w:t xml:space="preserve"> of </w: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begin"/>
    </w:r>
    <w:r>
      <w:rPr>
        <w:rFonts w:ascii="Arial" w:hAnsi="Arial" w:eastAsia="Arial" w:cs="Arial"/>
        <w:b w:val="0"/>
        <w:i w:val="0"/>
        <w:color w:val="5C6774"/>
        <w:sz w:val="16"/>
      </w:rPr>
      <w:instrText xml:space="preserve"> NUMPAGES </w:instrTex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D7DDE5"/>
      </w:pBdr>
    </w:pPr>
    <w:r/>
    <w:r>
      <w:rPr>
        <w:rFonts w:ascii="Arial" w:hAnsi="Arial" w:eastAsia="Arial" w:cs="Arial"/>
        <w:b w:val="0"/>
        <w:i/>
        <w:color w:val="5C6774"/>
        <w:sz w:val="16"/>
      </w:rPr>
      <w:t>CEU  ·  University of the Aegean  ·  University of Manchester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</w:rPr>
    </w:rPrDefault>
    <w:pPrDefault>
      <w:pPr>
        <w:spacing w:after="8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40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