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4" w:color="D7DDE5" w:space="0"/>
          <w:left w:val="single" w:sz="4" w:color="D7DDE5" w:space="0"/>
          <w:bottom w:val="single" w:sz="4" w:color="D7DDE5" w:space="0"/>
          <w:right w:val="single" w:sz="4" w:color="D7DDE5" w:space="0"/>
          <w:insideH w:val="single" w:sz="4" w:color="D7DDE5" w:space="0"/>
          <w:insideV w:val="single" w:sz="4" w:color="D7DDE5" w:space="0"/>
        </w:tblBorders>
      </w:tblPr>
      <w:tblGrid>
        <w:gridCol w:w="5043"/>
        <w:gridCol w:w="5043"/>
      </w:tblGrid>
      <w:tr>
        <w:tc>
          <w:tcPr>
            <w:tcW w:type="dxa" w:w="5043"/>
            <w:shd w:fill="12263A" w:val="clear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color="12263A" w:space="0"/>
              <w:left w:val="single" w:sz="4" w:color="12263A" w:space="0"/>
              <w:bottom w:val="single" w:sz="4" w:color="B08D3A" w:space="0"/>
              <w:right w:val="single" w:sz="4" w:color="12263A" w:space="0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7"/>
              </w:rPr>
              <w:t>RESEARCH BRIEF  ·  INDUSTRIAL DECARBONISATION</w:t>
            </w:r>
          </w:p>
        </w:tc>
        <w:tc>
          <w:tcPr>
            <w:tcW w:type="dxa" w:w="5043"/>
            <w:shd w:fill="12263A" w:val="clear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color="12263A" w:space="0"/>
              <w:left w:val="single" w:sz="4" w:color="12263A" w:space="0"/>
              <w:bottom w:val="single" w:sz="4" w:color="B08D3A" w:space="0"/>
              <w:right w:val="single" w:sz="4" w:color="12263A" w:space="0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7"/>
              </w:rPr>
              <w:t>August 2026  ·  Final thesis exhibits</w:t>
            </w:r>
          </w:p>
        </w:tc>
      </w:tr>
    </w:tbl>
    <w:p>
      <w:pPr>
        <w:spacing w:after="160" w:before="0" w:line="259" w:lineRule="auto"/>
      </w:pPr>
    </w:p>
    <w:p>
      <w:pPr>
        <w:spacing w:after="40" w:before="80" w:line="259" w:lineRule="auto"/>
      </w:pPr>
      <w:r>
        <w:rPr>
          <w:rFonts w:ascii="Arial" w:hAnsi="Arial" w:eastAsia="Arial" w:cs="Arial"/>
          <w:b/>
          <w:i w:val="0"/>
          <w:color w:val="12263A"/>
          <w:sz w:val="32"/>
        </w:rPr>
        <w:t>Path dependency and cement-industry decarbonisation in the UK</w:t>
      </w:r>
    </w:p>
    <w:p>
      <w:pPr>
        <w:spacing w:after="160" w:before="0" w:line="259" w:lineRule="auto"/>
      </w:pPr>
      <w:r>
        <w:rPr>
          <w:rFonts w:ascii="Arial" w:hAnsi="Arial" w:eastAsia="Arial" w:cs="Arial"/>
          <w:b w:val="0"/>
          <w:i/>
          <w:color w:val="5C6774"/>
          <w:sz w:val="22"/>
        </w:rPr>
        <w:t>The Peak Cluster CCS case — policy lock-in, abatement economics and social licence</w:t>
      </w:r>
    </w:p>
    <w:p>
      <w:pPr>
        <w:spacing w:after="20" w:before="40" w:line="259" w:lineRule="auto"/>
      </w:pPr>
      <w:r>
        <w:rPr>
          <w:rFonts w:ascii="Arial" w:hAnsi="Arial" w:eastAsia="Arial" w:cs="Arial"/>
          <w:b/>
          <w:i w:val="0"/>
          <w:color w:val="12263A"/>
          <w:sz w:val="24"/>
        </w:rPr>
        <w:t>Alhassan Abdulai</w:t>
      </w:r>
    </w:p>
    <w:p>
      <w:pPr>
        <w:spacing w:after="20" w:before="0" w:line="259" w:lineRule="auto"/>
      </w:pPr>
      <w:r>
        <w:rPr>
          <w:rFonts w:ascii="Arial" w:hAnsi="Arial" w:eastAsia="Arial" w:cs="Arial"/>
          <w:b w:val="0"/>
          <w:i/>
          <w:color w:val="1C2430"/>
          <w:sz w:val="20"/>
        </w:rPr>
        <w:t>MSc Environmental Sciences, Policy and Management (MESPOM) — Erasmus Mundus Joint Master’s</w:t>
      </w:r>
    </w:p>
    <w:p>
      <w:pPr>
        <w:spacing w:after="20" w:before="0" w:line="259" w:lineRule="auto"/>
      </w:pPr>
      <w:r>
        <w:rPr>
          <w:rFonts w:ascii="Arial" w:hAnsi="Arial" w:eastAsia="Arial" w:cs="Arial"/>
          <w:b w:val="0"/>
          <w:i w:val="0"/>
          <w:color w:val="1C2430"/>
          <w:sz w:val="20"/>
        </w:rPr>
        <w:t>Universities attended: Central European University (Vienna)  ·  University of the Aegean (Lesvos)  ·  University of Manchester</w:t>
      </w:r>
    </w:p>
    <w:p>
      <w:pPr>
        <w:spacing w:after="20" w:before="0" w:line="259" w:lineRule="auto"/>
      </w:pPr>
      <w:r>
        <w:rPr>
          <w:rFonts w:ascii="Arial" w:hAnsi="Arial" w:eastAsia="Arial" w:cs="Arial"/>
          <w:b w:val="0"/>
          <w:i w:val="0"/>
          <w:color w:val="5C6774"/>
          <w:sz w:val="19"/>
        </w:rPr>
        <w:t>Awarded with Distinction (GPA 3.73)  ·  2026  ·  Supervisor: Prof. Ian Kane (University of Manchester)</w:t>
      </w:r>
    </w:p>
    <w:p>
      <w:pPr>
        <w:spacing w:after="160" w:before="0" w:line="259" w:lineRule="auto"/>
      </w:pPr>
      <w:r>
        <w:rPr>
          <w:rFonts w:ascii="Arial" w:hAnsi="Arial" w:eastAsia="Arial" w:cs="Arial"/>
          <w:b w:val="0"/>
          <w:i/>
          <w:color w:val="5C6774"/>
          <w:sz w:val="18"/>
        </w:rPr>
        <w:t>Also: MSc Climate Change Engineering, Pan African University / Université Abou Bekr Belkaïd (PAUWES); BSc Agribusiness, First Class, University for Development Studies (Ghana).</w:t>
      </w:r>
    </w:p>
    <w:p>
      <w:pPr>
        <w:spacing w:after="200" w:before="0" w:line="259" w:lineRule="auto"/>
      </w:pPr>
      <w:r>
        <w:rPr>
          <w:rFonts w:ascii="Arial" w:hAnsi="Arial" w:eastAsia="Arial" w:cs="Arial"/>
          <w:b w:val="0"/>
          <w:i w:val="0"/>
          <w:color w:val="5C6774"/>
          <w:sz w:val="18"/>
        </w:rPr>
        <w:t>abdulaia549@gmail.com  ·  +44 7826 448718  ·  authenticscholar.github.io/portfolio  ·  github.com/Authenticscholar/peak-cluster-ccs-analysis</w:t>
      </w:r>
    </w:p>
    <w:p>
      <w:pPr>
        <w:spacing w:after="80" w:before="220" w:line="259" w:lineRule="auto"/>
        <w:pBdr>
          <w:bottom w:val="single" w:sz="8" w:space="2" w:color="B08D3A"/>
        </w:pBdr>
      </w:pPr>
      <w:r>
        <w:rPr>
          <w:rFonts w:ascii="Arial" w:hAnsi="Arial" w:eastAsia="Arial" w:cs="Arial"/>
          <w:b/>
          <w:i w:val="0"/>
          <w:color w:val="12263A"/>
          <w:sz w:val="20"/>
        </w:rPr>
        <w:t>THE QUESTION</w:t>
      </w:r>
    </w:p>
    <w:p>
      <w:pPr>
        <w:spacing w:after="160" w:before="0" w:line="259" w:lineRule="auto"/>
      </w:pPr>
      <w:r>
        <w:rPr>
          <w:rFonts w:ascii="Arial" w:hAnsi="Arial" w:eastAsia="Arial" w:cs="Arial"/>
          <w:b w:val="0"/>
          <w:i w:val="0"/>
          <w:color w:val="1C2430"/>
          <w:sz w:val="21"/>
        </w:rPr>
        <w:t>Can a UK industrial CCS cluster close the gap between carbon-price incentives, full-chain abatement cost and social licence — or does path-dependent policy lock cement into a high-cost pathway that still fails to earn public consent?</w:t>
      </w:r>
    </w:p>
    <w:p>
      <w:pPr>
        <w:spacing w:after="80" w:before="220" w:line="259" w:lineRule="auto"/>
        <w:pBdr>
          <w:bottom w:val="single" w:sz="8" w:space="2" w:color="B08D3A"/>
        </w:pBdr>
      </w:pPr>
      <w:r>
        <w:rPr>
          <w:rFonts w:ascii="Arial" w:hAnsi="Arial" w:eastAsia="Arial" w:cs="Arial"/>
          <w:b/>
          <w:i w:val="0"/>
          <w:color w:val="12263A"/>
          <w:sz w:val="20"/>
        </w:rPr>
        <w:t>AT A GLANCE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4" w:color="D7DDE5" w:space="0"/>
          <w:left w:val="single" w:sz="4" w:color="D7DDE5" w:space="0"/>
          <w:bottom w:val="single" w:sz="4" w:color="D7DDE5" w:space="0"/>
          <w:right w:val="single" w:sz="4" w:color="D7DDE5" w:space="0"/>
          <w:insideH w:val="single" w:sz="4" w:color="D7DDE5" w:space="0"/>
          <w:insideV w:val="single" w:sz="4" w:color="D7DDE5" w:space="0"/>
        </w:tblBorders>
      </w:tblPr>
      <w:tblGrid>
        <w:gridCol w:w="5043"/>
        <w:gridCol w:w="5043"/>
      </w:tblGrid>
      <w:tr>
        <w:tc>
          <w:tcPr>
            <w:tcW w:type="dxa" w:w="5043"/>
            <w:shd w:fill="12263A" w:val="clear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6"/>
              </w:rPr>
              <w:t>INDICATOR</w:t>
            </w:r>
          </w:p>
        </w:tc>
        <w:tc>
          <w:tcPr>
            <w:tcW w:type="dxa" w:w="5043"/>
            <w:shd w:fill="12263A" w:val="clear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6"/>
              </w:rPr>
              <w:t>RESULT</w:t>
            </w:r>
          </w:p>
        </w:tc>
      </w:tr>
      <w:tr>
        <w:tc>
          <w:tcPr>
            <w:tcW w:type="dxa" w:w="5043"/>
            <w:shd w:fill="FFFFFF" w:val="clear"/>
            <w:tcMar>
              <w:top w:w="45" w:type="dxa"/>
              <w:left w:w="90" w:type="dxa"/>
              <w:bottom w:w="45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1C2430"/>
                <w:sz w:val="19"/>
              </w:rPr>
              <w:t>Institutional lock-in (15 policy/industry documents)</w:t>
            </w:r>
          </w:p>
        </w:tc>
        <w:tc>
          <w:tcPr>
            <w:tcW w:type="dxa" w:w="5043"/>
            <w:shd w:fill="FFFFFF" w:val="clear"/>
            <w:tcMar>
              <w:top w:w="45" w:type="dxa"/>
              <w:left w:w="90" w:type="dxa"/>
              <w:bottom w:w="45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i w:val="0"/>
                <w:color w:val="1C2430"/>
                <w:sz w:val="19"/>
              </w:rPr>
              <w:t>Mean 4.4 / 7  ·  Peak Cluster materials = 7</w:t>
            </w:r>
          </w:p>
        </w:tc>
      </w:tr>
      <w:tr>
        <w:tc>
          <w:tcPr>
            <w:tcW w:type="dxa" w:w="5043"/>
            <w:shd w:fill="F4F6F8" w:val="clear"/>
            <w:tcMar>
              <w:top w:w="45" w:type="dxa"/>
              <w:left w:w="90" w:type="dxa"/>
              <w:bottom w:w="45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1C2430"/>
                <w:sz w:val="19"/>
              </w:rPr>
              <w:t>Pathway-diversification or sunset clauses</w:t>
            </w:r>
          </w:p>
        </w:tc>
        <w:tc>
          <w:tcPr>
            <w:tcW w:type="dxa" w:w="5043"/>
            <w:shd w:fill="F4F6F8" w:val="clear"/>
            <w:tcMar>
              <w:top w:w="45" w:type="dxa"/>
              <w:left w:w="90" w:type="dxa"/>
              <w:bottom w:w="45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i w:val="0"/>
                <w:color w:val="1C2430"/>
                <w:sz w:val="19"/>
              </w:rPr>
              <w:t>Present in 13% of the corpus</w:t>
            </w:r>
          </w:p>
        </w:tc>
      </w:tr>
      <w:tr>
        <w:tc>
          <w:tcPr>
            <w:tcW w:type="dxa" w:w="5043"/>
            <w:shd w:fill="FFFFFF" w:val="clear"/>
            <w:tcMar>
              <w:top w:w="45" w:type="dxa"/>
              <w:left w:w="90" w:type="dxa"/>
              <w:bottom w:w="45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1C2430"/>
                <w:sz w:val="19"/>
              </w:rPr>
              <w:t>Median LCO₂A, post-combustion MEA (N = 10,000)</w:t>
            </w:r>
          </w:p>
        </w:tc>
        <w:tc>
          <w:tcPr>
            <w:tcW w:type="dxa" w:w="5043"/>
            <w:shd w:fill="FFFFFF" w:val="clear"/>
            <w:tcMar>
              <w:top w:w="45" w:type="dxa"/>
              <w:left w:w="90" w:type="dxa"/>
              <w:bottom w:w="45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i w:val="0"/>
                <w:color w:val="1C2430"/>
                <w:sz w:val="19"/>
              </w:rPr>
              <w:t>USD 131.4 / t  (P5–P95: 113.8–149.7)</w:t>
            </w:r>
          </w:p>
        </w:tc>
      </w:tr>
      <w:tr>
        <w:tc>
          <w:tcPr>
            <w:tcW w:type="dxa" w:w="5043"/>
            <w:shd w:fill="F4F6F8" w:val="clear"/>
            <w:tcMar>
              <w:top w:w="45" w:type="dxa"/>
              <w:left w:w="90" w:type="dxa"/>
              <w:bottom w:w="45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1C2430"/>
                <w:sz w:val="19"/>
              </w:rPr>
              <w:t>UK ETS 2026 civil-penalty reference</w:t>
            </w:r>
          </w:p>
        </w:tc>
        <w:tc>
          <w:tcPr>
            <w:tcW w:type="dxa" w:w="5043"/>
            <w:shd w:fill="F4F6F8" w:val="clear"/>
            <w:tcMar>
              <w:top w:w="45" w:type="dxa"/>
              <w:left w:w="90" w:type="dxa"/>
              <w:bottom w:w="45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i w:val="0"/>
                <w:color w:val="1C2430"/>
                <w:sz w:val="19"/>
              </w:rPr>
              <w:t>USD 65.2 / t</w:t>
            </w:r>
          </w:p>
        </w:tc>
      </w:tr>
      <w:tr>
        <w:tc>
          <w:tcPr>
            <w:tcW w:type="dxa" w:w="5043"/>
            <w:shd w:fill="FFFFFF" w:val="clear"/>
            <w:tcMar>
              <w:top w:w="45" w:type="dxa"/>
              <w:left w:w="90" w:type="dxa"/>
              <w:bottom w:w="45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1C2430"/>
                <w:sz w:val="19"/>
              </w:rPr>
              <w:t>Implied public support at 3 Mt/yr design throughput</w:t>
            </w:r>
          </w:p>
        </w:tc>
        <w:tc>
          <w:tcPr>
            <w:tcW w:type="dxa" w:w="5043"/>
            <w:shd w:fill="FFFFFF" w:val="clear"/>
            <w:tcMar>
              <w:top w:w="45" w:type="dxa"/>
              <w:left w:w="90" w:type="dxa"/>
              <w:bottom w:w="45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i w:val="0"/>
                <w:color w:val="1C2430"/>
                <w:sz w:val="19"/>
              </w:rPr>
              <w:t>~USD 66 / t  ·  ~USD 199 million / year</w:t>
            </w:r>
          </w:p>
        </w:tc>
      </w:tr>
      <w:tr>
        <w:tc>
          <w:tcPr>
            <w:tcW w:type="dxa" w:w="5043"/>
            <w:shd w:fill="F4F6F8" w:val="clear"/>
            <w:tcMar>
              <w:top w:w="45" w:type="dxa"/>
              <w:left w:w="90" w:type="dxa"/>
              <w:bottom w:w="45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1C2430"/>
                <w:sz w:val="19"/>
              </w:rPr>
              <w:t>Social licence (191 public-discourse records)</w:t>
            </w:r>
          </w:p>
        </w:tc>
        <w:tc>
          <w:tcPr>
            <w:tcW w:type="dxa" w:w="5043"/>
            <w:shd w:fill="F4F6F8" w:val="clear"/>
            <w:tcMar>
              <w:top w:w="45" w:type="dxa"/>
              <w:left w:w="90" w:type="dxa"/>
              <w:bottom w:w="45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i w:val="0"/>
                <w:color w:val="1C2430"/>
                <w:sz w:val="19"/>
              </w:rPr>
              <w:t>51% scrutiny  ·  49% withholding  ·  0% approval</w:t>
            </w:r>
          </w:p>
        </w:tc>
      </w:tr>
    </w:tbl>
    <w:p>
      <w:pPr>
        <w:spacing w:after="80" w:before="40" w:line="259" w:lineRule="auto"/>
      </w:pPr>
    </w:p>
    <w:p>
      <w:pPr>
        <w:spacing w:after="80" w:before="220" w:line="259" w:lineRule="auto"/>
        <w:pBdr>
          <w:bottom w:val="single" w:sz="8" w:space="2" w:color="B08D3A"/>
        </w:pBdr>
      </w:pPr>
      <w:r>
        <w:rPr>
          <w:rFonts w:ascii="Arial" w:hAnsi="Arial" w:eastAsia="Arial" w:cs="Arial"/>
          <w:b/>
          <w:i w:val="0"/>
          <w:color w:val="12263A"/>
          <w:sz w:val="20"/>
        </w:rPr>
        <w:t>IN BRIEF</w:t>
      </w:r>
    </w:p>
    <w:p>
      <w:pPr>
        <w:spacing w:after="60" w:before="0" w:line="259" w:lineRule="auto"/>
        <w:ind w:left="255" w:hanging="255"/>
      </w:pPr>
      <w:r>
        <w:rPr>
          <w:rFonts w:ascii="Arial" w:hAnsi="Arial" w:eastAsia="Arial" w:cs="Arial"/>
          <w:b w:val="0"/>
          <w:i w:val="0"/>
          <w:color w:val="12263A"/>
          <w:sz w:val="21"/>
        </w:rPr>
        <w:t xml:space="preserve">•  </w:t>
      </w:r>
      <w:r>
        <w:rPr>
          <w:rFonts w:ascii="Arial" w:hAnsi="Arial" w:eastAsia="Arial" w:cs="Arial"/>
          <w:b/>
          <w:i w:val="0"/>
          <w:color w:val="1C2430"/>
          <w:sz w:val="21"/>
        </w:rPr>
        <w:t>Policy.</w:t>
      </w:r>
      <w:r>
        <w:rPr>
          <w:rFonts w:ascii="Arial" w:hAnsi="Arial" w:eastAsia="Arial" w:cs="Arial"/>
          <w:b w:val="0"/>
          <w:i w:val="0"/>
          <w:color w:val="1C2430"/>
          <w:sz w:val="21"/>
        </w:rPr>
        <w:t xml:space="preserve">  UK cluster sequencing and the Industrial Carbon Capture contract make CCS the central, contractable option. Sunset and diversification clauses are rare. The corpus does not merely prefer CCS; it narrows the space in which alternatives can still be chosen.</w:t>
      </w:r>
    </w:p>
    <w:p>
      <w:pPr>
        <w:spacing w:after="60" w:before="0" w:line="259" w:lineRule="auto"/>
        <w:ind w:left="255" w:hanging="255"/>
      </w:pPr>
      <w:r>
        <w:rPr>
          <w:rFonts w:ascii="Arial" w:hAnsi="Arial" w:eastAsia="Arial" w:cs="Arial"/>
          <w:b w:val="0"/>
          <w:i w:val="0"/>
          <w:color w:val="12263A"/>
          <w:sz w:val="21"/>
        </w:rPr>
        <w:t xml:space="preserve">•  </w:t>
      </w:r>
      <w:r>
        <w:rPr>
          <w:rFonts w:ascii="Arial" w:hAnsi="Arial" w:eastAsia="Arial" w:cs="Arial"/>
          <w:b/>
          <w:i w:val="0"/>
          <w:color w:val="1C2430"/>
          <w:sz w:val="21"/>
        </w:rPr>
        <w:t>Economics.</w:t>
      </w:r>
      <w:r>
        <w:rPr>
          <w:rFonts w:ascii="Arial" w:hAnsi="Arial" w:eastAsia="Arial" w:cs="Arial"/>
          <w:b w:val="0"/>
          <w:i w:val="0"/>
          <w:color w:val="1C2430"/>
          <w:sz w:val="21"/>
        </w:rPr>
        <w:t xml:space="preserve">  The mature retrofit route (post-combustion MEA) sits about USD 66 / t above the 2026 UK ETS civil-penalty reference. Capture cost dominates uncertainty; cheaper pipelines do not close the gap. Efficiency, clinker substitution and alternative fuels abate at lower cost, but they do not remove process emissions on their own.</w:t>
      </w:r>
    </w:p>
    <w:p>
      <w:pPr>
        <w:spacing w:after="60" w:before="0" w:line="259" w:lineRule="auto"/>
        <w:ind w:left="255" w:hanging="255"/>
      </w:pPr>
      <w:r>
        <w:rPr>
          <w:rFonts w:ascii="Arial" w:hAnsi="Arial" w:eastAsia="Arial" w:cs="Arial"/>
          <w:b w:val="0"/>
          <w:i w:val="0"/>
          <w:color w:val="12263A"/>
          <w:sz w:val="21"/>
        </w:rPr>
        <w:t xml:space="preserve">•  </w:t>
      </w:r>
      <w:r>
        <w:rPr>
          <w:rFonts w:ascii="Arial" w:hAnsi="Arial" w:eastAsia="Arial" w:cs="Arial"/>
          <w:b/>
          <w:i w:val="0"/>
          <w:color w:val="1C2430"/>
          <w:sz w:val="21"/>
        </w:rPr>
        <w:t>Licence.</w:t>
      </w:r>
      <w:r>
        <w:rPr>
          <w:rFonts w:ascii="Arial" w:hAnsi="Arial" w:eastAsia="Arial" w:cs="Arial"/>
          <w:b w:val="0"/>
          <w:i w:val="0"/>
          <w:color w:val="1C2430"/>
          <w:sz w:val="21"/>
        </w:rPr>
        <w:t xml:space="preserve">  Place identity, procedure and landscape — not carbon-price logic — structure public discourse. The project has not moved above withholding and conditional scrutiny. Path-dependent instruments can advance CCS while eroding legitimacy.</w:t>
      </w:r>
    </w:p>
    <w:p>
      <w:pPr>
        <w:spacing w:after="80" w:before="220" w:line="259" w:lineRule="auto"/>
        <w:pBdr>
          <w:bottom w:val="single" w:sz="8" w:space="2" w:color="B08D3A"/>
        </w:pBdr>
      </w:pPr>
      <w:r>
        <w:rPr>
          <w:rFonts w:ascii="Arial" w:hAnsi="Arial" w:eastAsia="Arial" w:cs="Arial"/>
          <w:b/>
          <w:i w:val="0"/>
          <w:color w:val="12263A"/>
          <w:sz w:val="20"/>
        </w:rPr>
        <w:t>EVIDENCE</w:t>
      </w:r>
    </w:p>
    <w:p>
      <w:pPr>
        <w:spacing w:after="120" w:before="0" w:line="259" w:lineRule="auto"/>
      </w:pPr>
      <w:r>
        <w:rPr>
          <w:rFonts w:ascii="Arial" w:hAnsi="Arial" w:eastAsia="Arial" w:cs="Arial"/>
          <w:b w:val="0"/>
          <w:i w:val="0"/>
          <w:color w:val="1C2430"/>
          <w:sz w:val="21"/>
        </w:rPr>
        <w:t>Design. Convergent parallel mixed-methods case study of Peak Cluster–Morecambe: inland cement and lime anchors, a ~200 km onshore CO₂ corridor, and Liverpool Bay / East Irish Sea storage. Three strands were run independently and joined in a joint display (final thesis Figure 13).</w:t>
      </w:r>
    </w:p>
    <w:p>
      <w:pPr>
        <w:spacing w:after="60" w:before="0" w:line="259" w:lineRule="auto"/>
        <w:ind w:left="255" w:hanging="255"/>
      </w:pPr>
      <w:r>
        <w:rPr>
          <w:rFonts w:ascii="Arial" w:hAnsi="Arial" w:eastAsia="Arial" w:cs="Arial"/>
          <w:b w:val="0"/>
          <w:i w:val="0"/>
          <w:color w:val="12263A"/>
          <w:sz w:val="21"/>
        </w:rPr>
        <w:t xml:space="preserve">•  </w:t>
      </w:r>
      <w:r>
        <w:rPr>
          <w:rFonts w:ascii="Arial" w:hAnsi="Arial" w:eastAsia="Arial" w:cs="Arial"/>
          <w:b/>
          <w:i w:val="0"/>
          <w:color w:val="1C2430"/>
          <w:sz w:val="21"/>
        </w:rPr>
        <w:t>Documents.</w:t>
      </w:r>
      <w:r>
        <w:rPr>
          <w:rFonts w:ascii="Arial" w:hAnsi="Arial" w:eastAsia="Arial" w:cs="Arial"/>
          <w:b w:val="0"/>
          <w:i w:val="0"/>
          <w:color w:val="1C2430"/>
          <w:sz w:val="21"/>
        </w:rPr>
        <w:t xml:space="preserve">  WPR problem-representation analysis and Erickson-style lock-in indicators on 15 government and industry texts (NVivo 14; P01–P15). Mean lock-in 4.4 / 7; Peak Cluster consultation materials score 7.</w:t>
      </w:r>
    </w:p>
    <w:p>
      <w:pPr>
        <w:spacing w:after="60" w:before="0" w:line="259" w:lineRule="auto"/>
        <w:ind w:left="255" w:hanging="255"/>
      </w:pPr>
      <w:r>
        <w:rPr>
          <w:rFonts w:ascii="Arial" w:hAnsi="Arial" w:eastAsia="Arial" w:cs="Arial"/>
          <w:b w:val="0"/>
          <w:i w:val="0"/>
          <w:color w:val="12263A"/>
          <w:sz w:val="21"/>
        </w:rPr>
        <w:t xml:space="preserve">•  </w:t>
      </w:r>
      <w:r>
        <w:rPr>
          <w:rFonts w:ascii="Arial" w:hAnsi="Arial" w:eastAsia="Arial" w:cs="Arial"/>
          <w:b/>
          <w:i w:val="0"/>
          <w:color w:val="1C2430"/>
          <w:sz w:val="21"/>
        </w:rPr>
        <w:t>Techno-economics.</w:t>
      </w:r>
      <w:r>
        <w:rPr>
          <w:rFonts w:ascii="Arial" w:hAnsi="Arial" w:eastAsia="Arial" w:cs="Arial"/>
          <w:b w:val="0"/>
          <w:i w:val="0"/>
          <w:color w:val="1C2430"/>
          <w:sz w:val="21"/>
        </w:rPr>
        <w:t xml:space="preserve">  Monte Carlo LCO₂A across five capture routes (seed 42); tornado sensitivity; ETS benchmarking; literature-based MAC for UK cement. Reported 2023 releases at four anchors total 2.248 Mt CO₂ (PRTR). Subsidy cases use the 3 Mt/yr ICC design throughput, not the PRTR total — a distinction often elided in sponsor materials.</w:t>
      </w:r>
    </w:p>
    <w:p>
      <w:pPr>
        <w:spacing w:after="60" w:before="0" w:line="259" w:lineRule="auto"/>
        <w:ind w:left="255" w:hanging="255"/>
      </w:pPr>
      <w:r>
        <w:rPr>
          <w:rFonts w:ascii="Arial" w:hAnsi="Arial" w:eastAsia="Arial" w:cs="Arial"/>
          <w:b w:val="0"/>
          <w:i w:val="0"/>
          <w:color w:val="12263A"/>
          <w:sz w:val="21"/>
        </w:rPr>
        <w:t xml:space="preserve">•  </w:t>
      </w:r>
      <w:r>
        <w:rPr>
          <w:rFonts w:ascii="Arial" w:hAnsi="Arial" w:eastAsia="Arial" w:cs="Arial"/>
          <w:b/>
          <w:i w:val="0"/>
          <w:color w:val="1C2430"/>
          <w:sz w:val="21"/>
        </w:rPr>
        <w:t>Discourse / SLO.</w:t>
      </w:r>
      <w:r>
        <w:rPr>
          <w:rFonts w:ascii="Arial" w:hAnsi="Arial" w:eastAsia="Arial" w:cs="Arial"/>
          <w:b w:val="0"/>
          <w:i w:val="0"/>
          <w:color w:val="1C2430"/>
          <w:sz w:val="21"/>
        </w:rPr>
        <w:t xml:space="preserve">  Manual stance and frame coding plus VADER sentiment on 191 cleaned records. Dominant frames: place identity (49%) and procedure (34%). Ninety per cent of items express an explicit trust deficit toward operators or regulators.</w:t>
      </w:r>
    </w:p>
    <w:p>
      <w:pPr>
        <w:spacing w:after="120" w:before="0" w:line="259" w:lineRule="auto"/>
      </w:pPr>
      <w:r>
        <w:rPr>
          <w:rFonts w:ascii="Arial" w:hAnsi="Arial" w:eastAsia="Arial" w:cs="Arial"/>
          <w:b w:val="0"/>
          <w:i/>
          <w:color w:val="5C6774"/>
          <w:sz w:val="20"/>
        </w:rPr>
        <w:t>Replication. Python (numpy, pandas, matplotlib) with an optional R check of the MEA median. Public code: github.com/Authenticscholar/peak-cluster-ccs-analysis. Figures on the public site are taken from the final submitted thesis PDF.</w:t>
      </w:r>
    </w:p>
    <w:p>
      <w:pPr>
        <w:spacing w:after="80" w:before="220" w:line="259" w:lineRule="auto"/>
        <w:pBdr>
          <w:bottom w:val="single" w:sz="8" w:space="2" w:color="B08D3A"/>
        </w:pBdr>
      </w:pPr>
      <w:r>
        <w:rPr>
          <w:rFonts w:ascii="Arial" w:hAnsi="Arial" w:eastAsia="Arial" w:cs="Arial"/>
          <w:b/>
          <w:i w:val="0"/>
          <w:color w:val="12263A"/>
          <w:sz w:val="20"/>
        </w:rPr>
        <w:t>IMPLICATIONS</w:t>
      </w:r>
    </w:p>
    <w:p>
      <w:pPr>
        <w:spacing w:after="120" w:before="0" w:line="259" w:lineRule="auto"/>
      </w:pPr>
      <w:r>
        <w:rPr>
          <w:rFonts w:ascii="Arial" w:hAnsi="Arial" w:eastAsia="Arial" w:cs="Arial"/>
          <w:b w:val="0"/>
          <w:i w:val="0"/>
          <w:color w:val="1C2430"/>
          <w:sz w:val="21"/>
        </w:rPr>
        <w:t>For governments and cluster sponsors, treat CCS as one option in a portfolio, not as the default that crowding-out is allowed to produce. For carbon-price design, an ETS level near USD 65 / t does not, on this evidence, make cement CCS privately viable. For engagement, social licence is a binding constraint, not a communications residual. Cement CCS is not shown to be unnecessary; it is shown to be premature as an exclusive, 15-year public commitment under present prices and present licence conditions.</w:t>
      </w:r>
    </w:p>
    <w:p>
      <w:pPr>
        <w:spacing w:after="80" w:before="220" w:line="259" w:lineRule="auto"/>
        <w:pBdr>
          <w:bottom w:val="single" w:sz="8" w:space="2" w:color="B08D3A"/>
        </w:pBdr>
      </w:pPr>
      <w:r>
        <w:rPr>
          <w:rFonts w:ascii="Arial" w:hAnsi="Arial" w:eastAsia="Arial" w:cs="Arial"/>
          <w:b/>
          <w:i w:val="0"/>
          <w:color w:val="12263A"/>
          <w:sz w:val="20"/>
        </w:rPr>
        <w:t>SELECTED EXHIBITS (FINAL THESIS)</w:t>
      </w:r>
    </w:p>
    <w:p>
      <w:pPr>
        <w:spacing w:after="60" w:before="0" w:line="259" w:lineRule="auto"/>
        <w:ind w:left="255" w:hanging="255"/>
      </w:pPr>
      <w:r>
        <w:rPr>
          <w:rFonts w:ascii="Arial" w:hAnsi="Arial" w:eastAsia="Arial" w:cs="Arial"/>
          <w:b w:val="0"/>
          <w:i w:val="0"/>
          <w:color w:val="12263A"/>
          <w:sz w:val="21"/>
        </w:rPr>
        <w:t xml:space="preserve">•  </w:t>
      </w:r>
      <w:r>
        <w:rPr>
          <w:rFonts w:ascii="Arial" w:hAnsi="Arial" w:eastAsia="Arial" w:cs="Arial"/>
          <w:b w:val="0"/>
          <w:i w:val="0"/>
          <w:color w:val="1C2430"/>
          <w:sz w:val="21"/>
        </w:rPr>
        <w:t>Figure 1 — Study-area map: pipeline corridor and anchor facilities.</w:t>
      </w:r>
    </w:p>
    <w:p>
      <w:pPr>
        <w:spacing w:after="60" w:before="0" w:line="259" w:lineRule="auto"/>
        <w:ind w:left="255" w:hanging="255"/>
      </w:pPr>
      <w:r>
        <w:rPr>
          <w:rFonts w:ascii="Arial" w:hAnsi="Arial" w:eastAsia="Arial" w:cs="Arial"/>
          <w:b w:val="0"/>
          <w:i w:val="0"/>
          <w:color w:val="12263A"/>
          <w:sz w:val="21"/>
        </w:rPr>
        <w:t xml:space="preserve">•  </w:t>
      </w:r>
      <w:r>
        <w:rPr>
          <w:rFonts w:ascii="Arial" w:hAnsi="Arial" w:eastAsia="Arial" w:cs="Arial"/>
          <w:b w:val="0"/>
          <w:i w:val="0"/>
          <w:color w:val="1C2430"/>
          <w:sz w:val="21"/>
        </w:rPr>
        <w:t>Figure 2 — Policy lock-in heatmap (P01–P15).</w:t>
      </w:r>
    </w:p>
    <w:p>
      <w:pPr>
        <w:spacing w:after="60" w:before="0" w:line="259" w:lineRule="auto"/>
        <w:ind w:left="255" w:hanging="255"/>
      </w:pPr>
      <w:r>
        <w:rPr>
          <w:rFonts w:ascii="Arial" w:hAnsi="Arial" w:eastAsia="Arial" w:cs="Arial"/>
          <w:b w:val="0"/>
          <w:i w:val="0"/>
          <w:color w:val="12263A"/>
          <w:sz w:val="21"/>
        </w:rPr>
        <w:t xml:space="preserve">•  </w:t>
      </w:r>
      <w:r>
        <w:rPr>
          <w:rFonts w:ascii="Arial" w:hAnsi="Arial" w:eastAsia="Arial" w:cs="Arial"/>
          <w:b w:val="0"/>
          <w:i w:val="0"/>
          <w:color w:val="1C2430"/>
          <w:sz w:val="21"/>
        </w:rPr>
        <w:t>Figure 5 — Monte Carlo LCO₂A distributions by capture technology.</w:t>
      </w:r>
    </w:p>
    <w:p>
      <w:pPr>
        <w:spacing w:after="60" w:before="0" w:line="259" w:lineRule="auto"/>
        <w:ind w:left="255" w:hanging="255"/>
      </w:pPr>
      <w:r>
        <w:rPr>
          <w:rFonts w:ascii="Arial" w:hAnsi="Arial" w:eastAsia="Arial" w:cs="Arial"/>
          <w:b w:val="0"/>
          <w:i w:val="0"/>
          <w:color w:val="12263A"/>
          <w:sz w:val="21"/>
        </w:rPr>
        <w:t xml:space="preserve">•  </w:t>
      </w:r>
      <w:r>
        <w:rPr>
          <w:rFonts w:ascii="Arial" w:hAnsi="Arial" w:eastAsia="Arial" w:cs="Arial"/>
          <w:b w:val="0"/>
          <w:i w:val="0"/>
          <w:color w:val="1C2430"/>
          <w:sz w:val="21"/>
        </w:rPr>
        <w:t>Figure 7 — Tornado sensitivity, post-combustion MEA.</w:t>
      </w:r>
    </w:p>
    <w:p>
      <w:pPr>
        <w:spacing w:after="60" w:before="0" w:line="259" w:lineRule="auto"/>
        <w:ind w:left="255" w:hanging="255"/>
      </w:pPr>
      <w:r>
        <w:rPr>
          <w:rFonts w:ascii="Arial" w:hAnsi="Arial" w:eastAsia="Arial" w:cs="Arial"/>
          <w:b w:val="0"/>
          <w:i w:val="0"/>
          <w:color w:val="12263A"/>
          <w:sz w:val="21"/>
        </w:rPr>
        <w:t xml:space="preserve">•  </w:t>
      </w:r>
      <w:r>
        <w:rPr>
          <w:rFonts w:ascii="Arial" w:hAnsi="Arial" w:eastAsia="Arial" w:cs="Arial"/>
          <w:b w:val="0"/>
          <w:i w:val="0"/>
          <w:color w:val="1C2430"/>
          <w:sz w:val="21"/>
        </w:rPr>
        <w:t>Figure 8 — Comparative MAC curve, UK cement, with ETS references.</w:t>
      </w:r>
    </w:p>
    <w:p>
      <w:pPr>
        <w:spacing w:after="60" w:before="0" w:line="259" w:lineRule="auto"/>
        <w:ind w:left="255" w:hanging="255"/>
      </w:pPr>
      <w:r>
        <w:rPr>
          <w:rFonts w:ascii="Arial" w:hAnsi="Arial" w:eastAsia="Arial" w:cs="Arial"/>
          <w:b w:val="0"/>
          <w:i w:val="0"/>
          <w:color w:val="12263A"/>
          <w:sz w:val="21"/>
        </w:rPr>
        <w:t xml:space="preserve">•  </w:t>
      </w:r>
      <w:r>
        <w:rPr>
          <w:rFonts w:ascii="Arial" w:hAnsi="Arial" w:eastAsia="Arial" w:cs="Arial"/>
          <w:b w:val="0"/>
          <w:i w:val="0"/>
          <w:color w:val="1C2430"/>
          <w:sz w:val="21"/>
        </w:rPr>
        <w:t>Figure 13 — Joint display of convergence, dissonance and generative mechanism.</w:t>
      </w:r>
    </w:p>
    <w:p>
      <w:pPr>
        <w:spacing w:after="0" w:before="200" w:line="259" w:lineRule="auto"/>
      </w:pPr>
      <w:r>
        <w:rPr>
          <w:rFonts w:ascii="Arial" w:hAnsi="Arial" w:eastAsia="Arial" w:cs="Arial"/>
          <w:b w:val="0"/>
          <w:i/>
          <w:color w:val="5C6774"/>
          <w:sz w:val="17"/>
        </w:rPr>
        <w:t>The full thesis is available on request. It is not posted publicly, pending university repository practice and possible chapter publication. This brief is a findings note for recruiters and research users, not a substitute for the examined dissertation.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2240" w:h="15840"/>
      <w:pgMar w:top="907" w:right="1077" w:bottom="907" w:left="1077" w:header="397" w:footer="34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left"/>
      <w:pBdr>
        <w:top w:val="single" w:sz="8" w:space="6" w:color="12263A"/>
      </w:pBdr>
    </w:pPr>
    <w:r/>
    <w:r>
      <w:rPr>
        <w:rFonts w:ascii="Arial" w:hAnsi="Arial" w:eastAsia="Arial" w:cs="Arial"/>
        <w:b w:val="0"/>
        <w:i w:val="0"/>
        <w:color w:val="5C6774"/>
        <w:sz w:val="16"/>
      </w:rPr>
      <w:t xml:space="preserve">Alhassan Abdulai  ·  Peak Cluster CCS  ·  Not a journal article; full thesis on request   ·   </w:t>
    </w:r>
    <w:r>
      <w:rPr>
        <w:rFonts w:ascii="Arial" w:hAnsi="Arial" w:eastAsia="Arial" w:cs="Arial"/>
        <w:b w:val="0"/>
        <w:i w:val="0"/>
        <w:color w:val="5C6774"/>
        <w:sz w:val="16"/>
      </w:rPr>
      <w:fldChar w:fldCharType="begin"/>
    </w:r>
    <w:r>
      <w:rPr>
        <w:rFonts w:ascii="Arial" w:hAnsi="Arial" w:eastAsia="Arial" w:cs="Arial"/>
        <w:b w:val="0"/>
        <w:i w:val="0"/>
        <w:color w:val="5C6774"/>
        <w:sz w:val="16"/>
      </w:rPr>
      <w:instrText xml:space="preserve"> PAGE </w:instrText>
    </w:r>
    <w:r>
      <w:rPr>
        <w:rFonts w:ascii="Arial" w:hAnsi="Arial" w:eastAsia="Arial" w:cs="Arial"/>
        <w:b w:val="0"/>
        <w:i w:val="0"/>
        <w:color w:val="5C6774"/>
        <w:sz w:val="16"/>
      </w:rPr>
      <w:fldChar w:fldCharType="end"/>
    </w:r>
    <w:r>
      <w:rPr>
        <w:rFonts w:ascii="Arial" w:hAnsi="Arial" w:eastAsia="Arial" w:cs="Arial"/>
        <w:b w:val="0"/>
        <w:i w:val="0"/>
        <w:color w:val="5C6774"/>
        <w:sz w:val="16"/>
      </w:rPr>
      <w:t xml:space="preserve"> of </w:t>
    </w:r>
    <w:r>
      <w:rPr>
        <w:rFonts w:ascii="Arial" w:hAnsi="Arial" w:eastAsia="Arial" w:cs="Arial"/>
        <w:b w:val="0"/>
        <w:i w:val="0"/>
        <w:color w:val="5C6774"/>
        <w:sz w:val="16"/>
      </w:rPr>
      <w:fldChar w:fldCharType="begin"/>
    </w:r>
    <w:r>
      <w:rPr>
        <w:rFonts w:ascii="Arial" w:hAnsi="Arial" w:eastAsia="Arial" w:cs="Arial"/>
        <w:b w:val="0"/>
        <w:i w:val="0"/>
        <w:color w:val="5C6774"/>
        <w:sz w:val="16"/>
      </w:rPr>
      <w:instrText xml:space="preserve"> NUMPAGES </w:instrText>
    </w:r>
    <w:r>
      <w:rPr>
        <w:rFonts w:ascii="Arial" w:hAnsi="Arial" w:eastAsia="Arial" w:cs="Arial"/>
        <w:b w:val="0"/>
        <w:i w:val="0"/>
        <w:color w:val="5C6774"/>
        <w:sz w:val="16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left"/>
      <w:pBdr>
        <w:top w:val="single" w:sz="8" w:space="6" w:color="12263A"/>
      </w:pBdr>
    </w:pPr>
    <w:r/>
    <w:r>
      <w:rPr>
        <w:rFonts w:ascii="Arial" w:hAnsi="Arial" w:eastAsia="Arial" w:cs="Arial"/>
        <w:b w:val="0"/>
        <w:i w:val="0"/>
        <w:color w:val="5C6774"/>
        <w:sz w:val="16"/>
      </w:rPr>
      <w:t xml:space="preserve">Alhassan Abdulai  ·  Peak Cluster CCS  ·  Not a journal article; full thesis on request   ·   </w:t>
    </w:r>
    <w:r>
      <w:rPr>
        <w:rFonts w:ascii="Arial" w:hAnsi="Arial" w:eastAsia="Arial" w:cs="Arial"/>
        <w:b w:val="0"/>
        <w:i w:val="0"/>
        <w:color w:val="5C6774"/>
        <w:sz w:val="16"/>
      </w:rPr>
      <w:fldChar w:fldCharType="begin"/>
    </w:r>
    <w:r>
      <w:rPr>
        <w:rFonts w:ascii="Arial" w:hAnsi="Arial" w:eastAsia="Arial" w:cs="Arial"/>
        <w:b w:val="0"/>
        <w:i w:val="0"/>
        <w:color w:val="5C6774"/>
        <w:sz w:val="16"/>
      </w:rPr>
      <w:instrText xml:space="preserve"> PAGE </w:instrText>
    </w:r>
    <w:r>
      <w:rPr>
        <w:rFonts w:ascii="Arial" w:hAnsi="Arial" w:eastAsia="Arial" w:cs="Arial"/>
        <w:b w:val="0"/>
        <w:i w:val="0"/>
        <w:color w:val="5C6774"/>
        <w:sz w:val="16"/>
      </w:rPr>
      <w:fldChar w:fldCharType="end"/>
    </w:r>
    <w:r>
      <w:rPr>
        <w:rFonts w:ascii="Arial" w:hAnsi="Arial" w:eastAsia="Arial" w:cs="Arial"/>
        <w:b w:val="0"/>
        <w:i w:val="0"/>
        <w:color w:val="5C6774"/>
        <w:sz w:val="16"/>
      </w:rPr>
      <w:t xml:space="preserve"> of </w:t>
    </w:r>
    <w:r>
      <w:rPr>
        <w:rFonts w:ascii="Arial" w:hAnsi="Arial" w:eastAsia="Arial" w:cs="Arial"/>
        <w:b w:val="0"/>
        <w:i w:val="0"/>
        <w:color w:val="5C6774"/>
        <w:sz w:val="16"/>
      </w:rPr>
      <w:fldChar w:fldCharType="begin"/>
    </w:r>
    <w:r>
      <w:rPr>
        <w:rFonts w:ascii="Arial" w:hAnsi="Arial" w:eastAsia="Arial" w:cs="Arial"/>
        <w:b w:val="0"/>
        <w:i w:val="0"/>
        <w:color w:val="5C6774"/>
        <w:sz w:val="16"/>
      </w:rPr>
      <w:instrText xml:space="preserve"> NUMPAGES </w:instrText>
    </w:r>
    <w:r>
      <w:rPr>
        <w:rFonts w:ascii="Arial" w:hAnsi="Arial" w:eastAsia="Arial" w:cs="Arial"/>
        <w:b w:val="0"/>
        <w:i w:val="0"/>
        <w:color w:val="5C6774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4" w:color="D7DDE5"/>
      </w:pBdr>
    </w:pPr>
    <w:r/>
    <w:r>
      <w:rPr>
        <w:rFonts w:ascii="Arial" w:hAnsi="Arial" w:eastAsia="Arial" w:cs="Arial"/>
        <w:b w:val="0"/>
        <w:i/>
        <w:color w:val="5C6774"/>
        <w:sz w:val="16"/>
      </w:rPr>
      <w:t>MESPOM  ·  CEU  ·  University of the Aegean  ·  University of Manchester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</w:rPr>
    </w:rPrDefault>
    <w:pPrDefault>
      <w:pPr>
        <w:spacing w:after="80" w:line="240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40" w:lineRule="auto"/>
    </w:pPr>
    <w:rPr>
      <w:rFonts w:ascii="Arial" w:hAnsi="Arial" w:eastAsia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 w:cs="Arial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 w:cs="Arial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 w:cs="Arial"/>
      <w:color w:val="17365D" w:themeColor="text2" w:themeShade="BF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 w:cs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 w:cs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