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EE17A" w14:textId="77777777" w:rsidR="00D30C7B" w:rsidRPr="00515EDB" w:rsidRDefault="00D2668C">
      <w:pPr>
        <w:spacing w:after="160"/>
        <w:jc w:val="center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 xml:space="preserve">MESPOM </w:t>
      </w:r>
      <w:proofErr w:type="gramStart"/>
      <w:r w:rsidRPr="00515EDB">
        <w:rPr>
          <w:rFonts w:ascii="Arial" w:eastAsia="Times New Roman" w:hAnsi="Arial" w:cs="Arial"/>
          <w:b/>
          <w:sz w:val="24"/>
          <w:szCs w:val="24"/>
        </w:rPr>
        <w:t>CAPSTONE  |</w:t>
      </w:r>
      <w:proofErr w:type="gramEnd"/>
      <w:r w:rsidRPr="00515EDB">
        <w:rPr>
          <w:rFonts w:ascii="Arial" w:eastAsia="Times New Roman" w:hAnsi="Arial" w:cs="Arial"/>
          <w:b/>
          <w:sz w:val="24"/>
          <w:szCs w:val="24"/>
        </w:rPr>
        <w:t xml:space="preserve">  ACADEMIC PUBLICATION PLAN AND EXTENDED ABSTRACT</w:t>
      </w:r>
    </w:p>
    <w:p w14:paraId="2CECCC81" w14:textId="77777777" w:rsidR="00D30C7B" w:rsidRPr="00515EDB" w:rsidRDefault="00D2668C">
      <w:pPr>
        <w:spacing w:after="240"/>
        <w:jc w:val="center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i/>
          <w:sz w:val="24"/>
          <w:szCs w:val="24"/>
        </w:rPr>
        <w:t xml:space="preserve">Alhassan </w:t>
      </w:r>
      <w:proofErr w:type="gramStart"/>
      <w:r w:rsidRPr="00515EDB">
        <w:rPr>
          <w:rFonts w:ascii="Arial" w:eastAsia="Times New Roman" w:hAnsi="Arial" w:cs="Arial"/>
          <w:i/>
          <w:sz w:val="24"/>
          <w:szCs w:val="24"/>
        </w:rPr>
        <w:t>Abdulai  ·</w:t>
      </w:r>
      <w:proofErr w:type="gramEnd"/>
      <w:r w:rsidRPr="00515EDB">
        <w:rPr>
          <w:rFonts w:ascii="Arial" w:eastAsia="Times New Roman" w:hAnsi="Arial" w:cs="Arial"/>
          <w:i/>
          <w:sz w:val="24"/>
          <w:szCs w:val="24"/>
        </w:rPr>
        <w:t xml:space="preserve">  August 2026  ·  Optional review: Prof. Ian Kane</w:t>
      </w:r>
    </w:p>
    <w:p w14:paraId="136E39C6" w14:textId="77777777" w:rsidR="00D30C7B" w:rsidRPr="00515EDB" w:rsidRDefault="00D2668C">
      <w:pPr>
        <w:spacing w:after="280"/>
        <w:jc w:val="center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From path-dependent industrial policy to opportunity-cost accounting:</w:t>
      </w:r>
      <w:r w:rsidRPr="00515EDB">
        <w:rPr>
          <w:rFonts w:ascii="Arial" w:eastAsia="Times New Roman" w:hAnsi="Arial" w:cs="Arial"/>
          <w:b/>
          <w:sz w:val="24"/>
          <w:szCs w:val="24"/>
        </w:rPr>
        <w:br/>
        <w:t xml:space="preserve">CCS, UK ETS prices and alternative </w:t>
      </w:r>
      <w:r w:rsidRPr="00515EDB">
        <w:rPr>
          <w:rFonts w:ascii="Arial" w:eastAsia="Times New Roman" w:hAnsi="Arial" w:cs="Arial"/>
          <w:b/>
          <w:sz w:val="24"/>
          <w:szCs w:val="24"/>
        </w:rPr>
        <w:t>abatement in the Peak Cluster case</w:t>
      </w:r>
    </w:p>
    <w:p w14:paraId="06AB0A4B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1. TARGET JOURNALS AND RATIONALE</w:t>
      </w:r>
    </w:p>
    <w:p w14:paraId="6AB69CE9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Primary target: Energy Research &amp; Social Science. The paper is a mixed-methods energy-policy case, not a process-engineering contribution. ERSS has published carbon lock-in, CCS legitimacy</w:t>
      </w:r>
      <w:r w:rsidRPr="00515EDB">
        <w:rPr>
          <w:rFonts w:ascii="Arial" w:eastAsia="Times New Roman" w:hAnsi="Arial" w:cs="Arial"/>
          <w:sz w:val="24"/>
          <w:szCs w:val="24"/>
        </w:rPr>
        <w:t xml:space="preserve"> and industrial-policy papers at the length and methods mix used here. Secondary target: Climate Policy, if the manuscript is cut toward instrument design (ICC CfD, cluster sequencing, diversification clauses) and the SLO strand is shortened to a supportin</w:t>
      </w:r>
      <w:r w:rsidRPr="00515EDB">
        <w:rPr>
          <w:rFonts w:ascii="Arial" w:eastAsia="Times New Roman" w:hAnsi="Arial" w:cs="Arial"/>
          <w:sz w:val="24"/>
          <w:szCs w:val="24"/>
        </w:rPr>
        <w:t>g section. Environmental Innovation and Societal Transitions is a reserve if the theoretical claim (social path-breaker at the DCO threshold) is placed in the foreground and the TEA is moved to an online annex. Nature Energy and Applied Energy are not appr</w:t>
      </w:r>
      <w:r w:rsidRPr="00515EDB">
        <w:rPr>
          <w:rFonts w:ascii="Arial" w:eastAsia="Times New Roman" w:hAnsi="Arial" w:cs="Arial"/>
          <w:sz w:val="24"/>
          <w:szCs w:val="24"/>
        </w:rPr>
        <w:t>opriate: the Monte Carlo is literature-parameterised, not a new capture-plant model.</w:t>
      </w:r>
    </w:p>
    <w:p w14:paraId="7AAE834A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Working length: 7,000–8,000 words (ERSS research article) plus supplementary tables already in the dissertation appendices.</w:t>
      </w:r>
    </w:p>
    <w:p w14:paraId="13EF9643" w14:textId="378BEAB2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Authorship: Alhassan Abdulai (sole), with optio</w:t>
      </w:r>
      <w:r w:rsidRPr="00515EDB">
        <w:rPr>
          <w:rFonts w:ascii="Arial" w:eastAsia="Times New Roman" w:hAnsi="Arial" w:cs="Arial"/>
          <w:sz w:val="24"/>
          <w:szCs w:val="24"/>
        </w:rPr>
        <w:t xml:space="preserve">nal co-authorship </w:t>
      </w:r>
      <w:r w:rsidR="00515EDB" w:rsidRPr="00515EDB">
        <w:rPr>
          <w:rFonts w:ascii="Arial" w:eastAsia="Times New Roman" w:hAnsi="Arial" w:cs="Arial"/>
          <w:sz w:val="24"/>
          <w:szCs w:val="24"/>
        </w:rPr>
        <w:t>by</w:t>
      </w:r>
      <w:r w:rsidRPr="00515EDB">
        <w:rPr>
          <w:rFonts w:ascii="Arial" w:eastAsia="Times New Roman" w:hAnsi="Arial" w:cs="Arial"/>
          <w:sz w:val="24"/>
          <w:szCs w:val="24"/>
        </w:rPr>
        <w:t xml:space="preserve"> Prof. Kane</w:t>
      </w:r>
    </w:p>
    <w:p w14:paraId="69643CDD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2. CONTRIBUTION (WHAT IS NOT ALREADY IN THE GREY LITERATURE)</w:t>
      </w:r>
    </w:p>
    <w:p w14:paraId="457FD0C9" w14:textId="77777777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Separates PRTR-reported 2.248 Mt/yr from ICC design 3 Mt/yr in a live UK cluster, a distinctio</w:t>
      </w:r>
      <w:r w:rsidRPr="00515EDB">
        <w:rPr>
          <w:rFonts w:ascii="Arial" w:eastAsia="Times New Roman" w:hAnsi="Arial" w:cs="Arial"/>
          <w:sz w:val="24"/>
          <w:szCs w:val="24"/>
        </w:rPr>
        <w:t>n routinely elided in sponsor materials.</w:t>
      </w:r>
    </w:p>
    <w:p w14:paraId="53799B71" w14:textId="77777777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Places full-chain MEA LCO</w:t>
      </w:r>
      <w:r w:rsidRPr="00515EDB">
        <w:rPr>
          <w:rFonts w:ascii="Cambria Math" w:eastAsia="Times New Roman" w:hAnsi="Cambria Math" w:cs="Cambria Math"/>
          <w:sz w:val="24"/>
          <w:szCs w:val="24"/>
        </w:rPr>
        <w:t>₂</w:t>
      </w:r>
      <w:r w:rsidRPr="00515EDB">
        <w:rPr>
          <w:rFonts w:ascii="Arial" w:eastAsia="Times New Roman" w:hAnsi="Arial" w:cs="Arial"/>
          <w:sz w:val="24"/>
          <w:szCs w:val="24"/>
        </w:rPr>
        <w:t>A (median USD 131.4/t) against three UK carbon-price markers and reports the implied 15-year ICC bill at design throughput.</w:t>
      </w:r>
    </w:p>
    <w:p w14:paraId="7B4D1185" w14:textId="77777777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Shows that institutional lock-in scores (mean 4.4/7; P14 = 7) c</w:t>
      </w:r>
      <w:r w:rsidRPr="00515EDB">
        <w:rPr>
          <w:rFonts w:ascii="Arial" w:eastAsia="Times New Roman" w:hAnsi="Arial" w:cs="Arial"/>
          <w:sz w:val="24"/>
          <w:szCs w:val="24"/>
        </w:rPr>
        <w:t>o-occur with an SLO distribution that has no approval cell — lock-in without legitimacy.</w:t>
      </w:r>
    </w:p>
    <w:p w14:paraId="56A6027E" w14:textId="77777777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Treats DCO consent as the mechanism where path dependence and path change are still both possible.</w:t>
      </w:r>
    </w:p>
    <w:p w14:paraId="39BA7A42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3. EXTENDED ABSTRACT</w:t>
      </w:r>
    </w:p>
    <w:p w14:paraId="41F111B0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The United Kingdom has organised industrial ca</w:t>
      </w:r>
      <w:r w:rsidRPr="00515EDB">
        <w:rPr>
          <w:rFonts w:ascii="Arial" w:eastAsia="Times New Roman" w:hAnsi="Arial" w:cs="Arial"/>
          <w:sz w:val="24"/>
          <w:szCs w:val="24"/>
        </w:rPr>
        <w:t>rbon capture around cluster sequencing and the Industrial Carbon Capture business model, a contract-for-difference that pays the gap between a negotiated strike price and the UK Emissions Trading Scheme reference. Peak Cluster, which would collect CO</w:t>
      </w:r>
      <w:r w:rsidRPr="00515EDB">
        <w:rPr>
          <w:rFonts w:ascii="Cambria Math" w:eastAsia="Times New Roman" w:hAnsi="Cambria Math" w:cs="Cambria Math"/>
          <w:sz w:val="24"/>
          <w:szCs w:val="24"/>
        </w:rPr>
        <w:t>₂</w:t>
      </w:r>
      <w:r w:rsidRPr="00515EDB">
        <w:rPr>
          <w:rFonts w:ascii="Arial" w:eastAsia="Times New Roman" w:hAnsi="Arial" w:cs="Arial"/>
          <w:sz w:val="24"/>
          <w:szCs w:val="24"/>
        </w:rPr>
        <w:t xml:space="preserve"> from</w:t>
      </w:r>
      <w:r w:rsidRPr="00515EDB">
        <w:rPr>
          <w:rFonts w:ascii="Arial" w:eastAsia="Times New Roman" w:hAnsi="Arial" w:cs="Arial"/>
          <w:sz w:val="24"/>
          <w:szCs w:val="24"/>
        </w:rPr>
        <w:t xml:space="preserve"> cement and lime works in the Peak District and move it toward East Irish Sea storage, is an early test of that architecture in a hard-to-abate minerals sector. This article asks whether that architecture is an efficient use of public abatement expenditure</w:t>
      </w:r>
      <w:r w:rsidRPr="00515EDB">
        <w:rPr>
          <w:rFonts w:ascii="Arial" w:eastAsia="Times New Roman" w:hAnsi="Arial" w:cs="Arial"/>
          <w:sz w:val="24"/>
          <w:szCs w:val="24"/>
        </w:rPr>
        <w:t>, and whether it can proceed without a social licence.</w:t>
      </w:r>
    </w:p>
    <w:p w14:paraId="5840735D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lastRenderedPageBreak/>
        <w:t>A convergent mixed-methods case study combines (i) lock-in coding of fifteen policy and industry documents, (ii) 10,000-iteration Monte Carlo simulation of full-chain levelised cost of CO</w:t>
      </w:r>
      <w:r w:rsidRPr="00515EDB">
        <w:rPr>
          <w:rFonts w:ascii="Cambria Math" w:eastAsia="Times New Roman" w:hAnsi="Cambria Math" w:cs="Cambria Math"/>
          <w:sz w:val="24"/>
          <w:szCs w:val="24"/>
        </w:rPr>
        <w:t>₂</w:t>
      </w:r>
      <w:r w:rsidRPr="00515EDB">
        <w:rPr>
          <w:rFonts w:ascii="Arial" w:eastAsia="Times New Roman" w:hAnsi="Arial" w:cs="Arial"/>
          <w:sz w:val="24"/>
          <w:szCs w:val="24"/>
        </w:rPr>
        <w:t xml:space="preserve"> avoided for </w:t>
      </w:r>
      <w:r w:rsidRPr="00515EDB">
        <w:rPr>
          <w:rFonts w:ascii="Arial" w:eastAsia="Times New Roman" w:hAnsi="Arial" w:cs="Arial"/>
          <w:sz w:val="24"/>
          <w:szCs w:val="24"/>
        </w:rPr>
        <w:t>five capture options, a tornado sensitivity and a sectoral marginal abatement cost curve, and (iii) frame and SLO coding of 191 social-media records. Reported 2023 releases at four anchor facilities total 2.248 Mt CO</w:t>
      </w:r>
      <w:r w:rsidRPr="00515EDB">
        <w:rPr>
          <w:rFonts w:ascii="Cambria Math" w:eastAsia="Times New Roman" w:hAnsi="Cambria Math" w:cs="Cambria Math"/>
          <w:sz w:val="24"/>
          <w:szCs w:val="24"/>
        </w:rPr>
        <w:t>₂</w:t>
      </w:r>
      <w:r w:rsidRPr="00515EDB">
        <w:rPr>
          <w:rFonts w:ascii="Arial" w:eastAsia="Times New Roman" w:hAnsi="Arial" w:cs="Arial"/>
          <w:sz w:val="24"/>
          <w:szCs w:val="24"/>
        </w:rPr>
        <w:t xml:space="preserve"> (Hope 0.985, Tunstead Cement 0.553, Ca</w:t>
      </w:r>
      <w:r w:rsidRPr="00515EDB">
        <w:rPr>
          <w:rFonts w:ascii="Arial" w:eastAsia="Times New Roman" w:hAnsi="Arial" w:cs="Arial"/>
          <w:sz w:val="24"/>
          <w:szCs w:val="24"/>
        </w:rPr>
        <w:t>uldon 0.370, Tunstead Lime 0.340). Subsidy cases use the 3 Mt/yr ICC design throughput disclosed by project and National Wealth Fund materials, not the PRTR total.</w:t>
      </w:r>
    </w:p>
    <w:p w14:paraId="3B969C3D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The mean lock-in score is 4.4 out of 7; Peak Cluster consultation materials score 7. Diversi</w:t>
      </w:r>
      <w:r w:rsidRPr="00515EDB">
        <w:rPr>
          <w:rFonts w:ascii="Arial" w:eastAsia="Times New Roman" w:hAnsi="Arial" w:cs="Arial"/>
          <w:sz w:val="24"/>
          <w:szCs w:val="24"/>
        </w:rPr>
        <w:t>fication clauses appear in 13% of documents. Post-combustion MEA, the mature retrofit option, has a median LCO</w:t>
      </w:r>
      <w:r w:rsidRPr="00515EDB">
        <w:rPr>
          <w:rFonts w:ascii="Cambria Math" w:eastAsia="Times New Roman" w:hAnsi="Cambria Math" w:cs="Cambria Math"/>
          <w:sz w:val="24"/>
          <w:szCs w:val="24"/>
        </w:rPr>
        <w:t>₂</w:t>
      </w:r>
      <w:r w:rsidRPr="00515EDB">
        <w:rPr>
          <w:rFonts w:ascii="Arial" w:eastAsia="Times New Roman" w:hAnsi="Arial" w:cs="Arial"/>
          <w:sz w:val="24"/>
          <w:szCs w:val="24"/>
        </w:rPr>
        <w:t>A of USD 131.4/t (P5–P95 113.8–149.7), against a 2026 UK ETS civil-penalty reference of USD 65.2/t. The implied subsidy is USD 66.2/t, or about U</w:t>
      </w:r>
      <w:r w:rsidRPr="00515EDB">
        <w:rPr>
          <w:rFonts w:ascii="Arial" w:eastAsia="Times New Roman" w:hAnsi="Arial" w:cs="Arial"/>
          <w:sz w:val="24"/>
          <w:szCs w:val="24"/>
        </w:rPr>
        <w:t xml:space="preserve">SD 198.6 million per year at design throughput (USD 2.98 billion undiscounted over 15 years) if the </w:t>
      </w:r>
      <w:proofErr w:type="gramStart"/>
      <w:r w:rsidRPr="00515EDB">
        <w:rPr>
          <w:rFonts w:ascii="Arial" w:eastAsia="Times New Roman" w:hAnsi="Arial" w:cs="Arial"/>
          <w:sz w:val="24"/>
          <w:szCs w:val="24"/>
        </w:rPr>
        <w:t>low price</w:t>
      </w:r>
      <w:proofErr w:type="gramEnd"/>
      <w:r w:rsidRPr="00515EDB">
        <w:rPr>
          <w:rFonts w:ascii="Arial" w:eastAsia="Times New Roman" w:hAnsi="Arial" w:cs="Arial"/>
          <w:sz w:val="24"/>
          <w:szCs w:val="24"/>
        </w:rPr>
        <w:t xml:space="preserve"> path holds. Efficiency, LC3/SCM substitution and alternative fuels occupy the left of the MAC at mid-points of USD 6.6, 33.0 and 37.0/t. </w:t>
      </w:r>
      <w:proofErr w:type="gramStart"/>
      <w:r w:rsidRPr="00515EDB">
        <w:rPr>
          <w:rFonts w:ascii="Arial" w:eastAsia="Times New Roman" w:hAnsi="Arial" w:cs="Arial"/>
          <w:sz w:val="24"/>
          <w:szCs w:val="24"/>
        </w:rPr>
        <w:t>Public</w:t>
      </w:r>
      <w:proofErr w:type="gramEnd"/>
      <w:r w:rsidRPr="00515EDB">
        <w:rPr>
          <w:rFonts w:ascii="Arial" w:eastAsia="Times New Roman" w:hAnsi="Arial" w:cs="Arial"/>
          <w:sz w:val="24"/>
          <w:szCs w:val="24"/>
        </w:rPr>
        <w:t xml:space="preserve"> di</w:t>
      </w:r>
      <w:r w:rsidRPr="00515EDB">
        <w:rPr>
          <w:rFonts w:ascii="Arial" w:eastAsia="Times New Roman" w:hAnsi="Arial" w:cs="Arial"/>
          <w:sz w:val="24"/>
          <w:szCs w:val="24"/>
        </w:rPr>
        <w:t>scourse does not license the project: 51% of records sit at conditional scrutiny and 49% at withholding, with dominant frames of place identity (49%) and procedure (34%).</w:t>
      </w:r>
    </w:p>
    <w:p w14:paraId="1BF4A7C1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The joint finding is a generative mechanism rather than three separate results. Instr</w:t>
      </w:r>
      <w:r w:rsidRPr="00515EDB">
        <w:rPr>
          <w:rFonts w:ascii="Arial" w:eastAsia="Times New Roman" w:hAnsi="Arial" w:cs="Arial"/>
          <w:sz w:val="24"/>
          <w:szCs w:val="24"/>
        </w:rPr>
        <w:t>uments that make CCS contractable also read, to affected communities, as procedural pre-determination. Opportunity-cost accounting then shows that those instruments are being asked to support a technology whose median full-chain cost still sits above the s</w:t>
      </w:r>
      <w:r w:rsidRPr="00515EDB">
        <w:rPr>
          <w:rFonts w:ascii="Arial" w:eastAsia="Times New Roman" w:hAnsi="Arial" w:cs="Arial"/>
          <w:sz w:val="24"/>
          <w:szCs w:val="24"/>
        </w:rPr>
        <w:t>tatutory carbon price. The article recommends pathway-diversification and sunset clauses in ICC instruments, parallel revenue support for material substitution, and a structured SLO test at DCO that can still change design. Cement CCS is not shown to be un</w:t>
      </w:r>
      <w:r w:rsidRPr="00515EDB">
        <w:rPr>
          <w:rFonts w:ascii="Arial" w:eastAsia="Times New Roman" w:hAnsi="Arial" w:cs="Arial"/>
          <w:sz w:val="24"/>
          <w:szCs w:val="24"/>
        </w:rPr>
        <w:t>necessary; it is shown to be premature as an exclusive, 15-year public commitment under present prices and present licence conditions.</w:t>
      </w:r>
    </w:p>
    <w:p w14:paraId="13D4578E" w14:textId="77777777" w:rsidR="00D30C7B" w:rsidRPr="00515EDB" w:rsidRDefault="00D2668C">
      <w:pPr>
        <w:spacing w:after="16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i/>
          <w:sz w:val="24"/>
          <w:szCs w:val="24"/>
        </w:rPr>
        <w:t>Keywords: carbon capture and storage; carbon lock-in; cement; UK ETS; social licence; Peak Cluster</w:t>
      </w:r>
    </w:p>
    <w:p w14:paraId="542F9E27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4. MANUSCRIPT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8"/>
        <w:gridCol w:w="3059"/>
        <w:gridCol w:w="3057"/>
      </w:tblGrid>
      <w:tr w:rsidR="00515EDB" w:rsidRPr="00515EDB" w14:paraId="16691D9D" w14:textId="77777777" w:rsidTr="00515EDB">
        <w:tc>
          <w:tcPr>
            <w:tcW w:w="3061" w:type="dxa"/>
          </w:tcPr>
          <w:p w14:paraId="41D32784" w14:textId="77777777" w:rsidR="00D30C7B" w:rsidRPr="00515EDB" w:rsidRDefault="00D2668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b/>
                <w:sz w:val="16"/>
                <w:szCs w:val="16"/>
              </w:rPr>
              <w:t>Sec</w:t>
            </w:r>
            <w:r w:rsidRPr="00515EDB">
              <w:rPr>
                <w:rFonts w:ascii="Arial" w:eastAsia="Times New Roman" w:hAnsi="Arial" w:cs="Arial"/>
                <w:b/>
                <w:sz w:val="16"/>
                <w:szCs w:val="16"/>
              </w:rPr>
              <w:t>tion</w:t>
            </w:r>
          </w:p>
        </w:tc>
        <w:tc>
          <w:tcPr>
            <w:tcW w:w="3061" w:type="dxa"/>
          </w:tcPr>
          <w:p w14:paraId="5C9FDBA0" w14:textId="77777777" w:rsidR="00D30C7B" w:rsidRPr="00515EDB" w:rsidRDefault="00D2668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b/>
                <w:sz w:val="16"/>
                <w:szCs w:val="16"/>
              </w:rPr>
              <w:t>Content</w:t>
            </w:r>
          </w:p>
        </w:tc>
        <w:tc>
          <w:tcPr>
            <w:tcW w:w="3061" w:type="dxa"/>
          </w:tcPr>
          <w:p w14:paraId="7BB97FCF" w14:textId="77777777" w:rsidR="00D30C7B" w:rsidRPr="00515EDB" w:rsidRDefault="00D2668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b/>
                <w:sz w:val="16"/>
                <w:szCs w:val="16"/>
              </w:rPr>
              <w:t>Approx. words</w:t>
            </w:r>
          </w:p>
        </w:tc>
      </w:tr>
      <w:tr w:rsidR="00515EDB" w:rsidRPr="00515EDB" w14:paraId="6CA2E6DA" w14:textId="77777777" w:rsidTr="00515EDB">
        <w:tc>
          <w:tcPr>
            <w:tcW w:w="3061" w:type="dxa"/>
          </w:tcPr>
          <w:p w14:paraId="59A1DBC9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Introduction</w:t>
            </w:r>
          </w:p>
        </w:tc>
        <w:tc>
          <w:tcPr>
            <w:tcW w:w="3061" w:type="dxa"/>
          </w:tcPr>
          <w:p w14:paraId="3179A05C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Cluster sequencing, ICC CfD, Peak Cluster as case, three questions</w:t>
            </w:r>
          </w:p>
        </w:tc>
        <w:tc>
          <w:tcPr>
            <w:tcW w:w="3061" w:type="dxa"/>
          </w:tcPr>
          <w:p w14:paraId="2209CA4E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900</w:t>
            </w:r>
          </w:p>
        </w:tc>
      </w:tr>
      <w:tr w:rsidR="00515EDB" w:rsidRPr="00515EDB" w14:paraId="4A27E947" w14:textId="77777777" w:rsidTr="00515EDB">
        <w:tc>
          <w:tcPr>
            <w:tcW w:w="3061" w:type="dxa"/>
          </w:tcPr>
          <w:p w14:paraId="407F3534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Framework</w:t>
            </w:r>
          </w:p>
        </w:tc>
        <w:tc>
          <w:tcPr>
            <w:tcW w:w="3061" w:type="dxa"/>
          </w:tcPr>
          <w:p w14:paraId="6B28D70B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Unruh/Erickson/Seto lock-in; SLO continuum; opportunity cost</w:t>
            </w:r>
          </w:p>
        </w:tc>
        <w:tc>
          <w:tcPr>
            <w:tcW w:w="3061" w:type="dxa"/>
          </w:tcPr>
          <w:p w14:paraId="18CEA1F5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1,100</w:t>
            </w:r>
          </w:p>
        </w:tc>
      </w:tr>
      <w:tr w:rsidR="00515EDB" w:rsidRPr="00515EDB" w14:paraId="0D01D7EC" w14:textId="77777777" w:rsidTr="00515EDB">
        <w:tc>
          <w:tcPr>
            <w:tcW w:w="3061" w:type="dxa"/>
          </w:tcPr>
          <w:p w14:paraId="782D2840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Methods</w:t>
            </w:r>
          </w:p>
        </w:tc>
        <w:tc>
          <w:tcPr>
            <w:tcW w:w="3061" w:type="dxa"/>
          </w:tcPr>
          <w:p w14:paraId="776E08D2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Document scores; MC LCO</w:t>
            </w:r>
            <w:r w:rsidRPr="00515EDB">
              <w:rPr>
                <w:rFonts w:ascii="Cambria Math" w:eastAsia="Times New Roman" w:hAnsi="Cambria Math" w:cs="Cambria Math"/>
                <w:sz w:val="16"/>
                <w:szCs w:val="16"/>
              </w:rPr>
              <w:t>₂</w:t>
            </w:r>
            <w:r w:rsidRPr="00515EDB">
              <w:rPr>
                <w:rFonts w:ascii="Arial" w:eastAsia="Times New Roman" w:hAnsi="Arial" w:cs="Arial"/>
                <w:sz w:val="16"/>
                <w:szCs w:val="16"/>
              </w:rPr>
              <w:t xml:space="preserve">A; MAC; discourse corpus; </w:t>
            </w: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integration</w:t>
            </w:r>
          </w:p>
        </w:tc>
        <w:tc>
          <w:tcPr>
            <w:tcW w:w="3061" w:type="dxa"/>
          </w:tcPr>
          <w:p w14:paraId="53555DF1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1,200</w:t>
            </w:r>
          </w:p>
        </w:tc>
      </w:tr>
      <w:tr w:rsidR="00515EDB" w:rsidRPr="00515EDB" w14:paraId="32F2C634" w14:textId="77777777" w:rsidTr="00515EDB">
        <w:tc>
          <w:tcPr>
            <w:tcW w:w="3061" w:type="dxa"/>
          </w:tcPr>
          <w:p w14:paraId="1AC52565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Results — policy</w:t>
            </w:r>
          </w:p>
        </w:tc>
        <w:tc>
          <w:tcPr>
            <w:tcW w:w="3061" w:type="dxa"/>
          </w:tcPr>
          <w:p w14:paraId="1838510F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Heatmap, composite scores, silences on alternatives</w:t>
            </w:r>
          </w:p>
        </w:tc>
        <w:tc>
          <w:tcPr>
            <w:tcW w:w="3061" w:type="dxa"/>
          </w:tcPr>
          <w:p w14:paraId="438A7D39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1,000</w:t>
            </w:r>
          </w:p>
        </w:tc>
      </w:tr>
      <w:tr w:rsidR="00515EDB" w:rsidRPr="00515EDB" w14:paraId="772EFFFB" w14:textId="77777777" w:rsidTr="00515EDB">
        <w:tc>
          <w:tcPr>
            <w:tcW w:w="3061" w:type="dxa"/>
          </w:tcPr>
          <w:p w14:paraId="26AA9235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Results — TEA</w:t>
            </w:r>
          </w:p>
        </w:tc>
        <w:tc>
          <w:tcPr>
            <w:tcW w:w="3061" w:type="dxa"/>
          </w:tcPr>
          <w:p w14:paraId="78B7C282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PRTR vs design; Table of MC; tornado; MAC; subsidy cases</w:t>
            </w:r>
          </w:p>
        </w:tc>
        <w:tc>
          <w:tcPr>
            <w:tcW w:w="3061" w:type="dxa"/>
          </w:tcPr>
          <w:p w14:paraId="3CADEB77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1,400</w:t>
            </w:r>
          </w:p>
        </w:tc>
      </w:tr>
      <w:tr w:rsidR="00515EDB" w:rsidRPr="00515EDB" w14:paraId="5616B3CD" w14:textId="77777777" w:rsidTr="00515EDB">
        <w:tc>
          <w:tcPr>
            <w:tcW w:w="3061" w:type="dxa"/>
          </w:tcPr>
          <w:p w14:paraId="611F3286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Results — SLO</w:t>
            </w:r>
          </w:p>
        </w:tc>
        <w:tc>
          <w:tcPr>
            <w:tcW w:w="3061" w:type="dxa"/>
          </w:tcPr>
          <w:p w14:paraId="04E21FB7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Frames, geography, distrust; no approval cell</w:t>
            </w:r>
          </w:p>
        </w:tc>
        <w:tc>
          <w:tcPr>
            <w:tcW w:w="3061" w:type="dxa"/>
          </w:tcPr>
          <w:p w14:paraId="71E76B92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900</w:t>
            </w:r>
          </w:p>
        </w:tc>
      </w:tr>
      <w:tr w:rsidR="00515EDB" w:rsidRPr="00515EDB" w14:paraId="3E00DC44" w14:textId="77777777" w:rsidTr="00515EDB">
        <w:tc>
          <w:tcPr>
            <w:tcW w:w="3061" w:type="dxa"/>
          </w:tcPr>
          <w:p w14:paraId="3FFCB1BD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Integration and discussion</w:t>
            </w:r>
          </w:p>
        </w:tc>
        <w:tc>
          <w:tcPr>
            <w:tcW w:w="3061" w:type="dxa"/>
          </w:tcPr>
          <w:p w14:paraId="5C3B7993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Generative mechanism; DCO as pivot; limitations</w:t>
            </w:r>
          </w:p>
        </w:tc>
        <w:tc>
          <w:tcPr>
            <w:tcW w:w="3061" w:type="dxa"/>
          </w:tcPr>
          <w:p w14:paraId="70B3D50A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1,200</w:t>
            </w:r>
          </w:p>
        </w:tc>
      </w:tr>
      <w:tr w:rsidR="00515EDB" w:rsidRPr="00515EDB" w14:paraId="2187464F" w14:textId="77777777" w:rsidTr="00515EDB">
        <w:tc>
          <w:tcPr>
            <w:tcW w:w="3061" w:type="dxa"/>
          </w:tcPr>
          <w:p w14:paraId="420EEB74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Conclusion</w:t>
            </w:r>
          </w:p>
        </w:tc>
        <w:tc>
          <w:tcPr>
            <w:tcW w:w="3061" w:type="dxa"/>
          </w:tcPr>
          <w:p w14:paraId="516B974F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Instrument reform; what the paper does not claim</w:t>
            </w:r>
          </w:p>
        </w:tc>
        <w:tc>
          <w:tcPr>
            <w:tcW w:w="3061" w:type="dxa"/>
          </w:tcPr>
          <w:p w14:paraId="27988732" w14:textId="77777777" w:rsidR="00D30C7B" w:rsidRPr="00515EDB" w:rsidRDefault="00D2668C">
            <w:pPr>
              <w:rPr>
                <w:rFonts w:ascii="Arial" w:hAnsi="Arial" w:cs="Arial"/>
                <w:sz w:val="16"/>
                <w:szCs w:val="16"/>
              </w:rPr>
            </w:pPr>
            <w:r w:rsidRPr="00515EDB">
              <w:rPr>
                <w:rFonts w:ascii="Arial" w:eastAsia="Times New Roman" w:hAnsi="Arial" w:cs="Arial"/>
                <w:sz w:val="16"/>
                <w:szCs w:val="16"/>
              </w:rPr>
              <w:t>400</w:t>
            </w:r>
          </w:p>
        </w:tc>
      </w:tr>
    </w:tbl>
    <w:p w14:paraId="5DA10091" w14:textId="77777777" w:rsidR="00D30C7B" w:rsidRPr="00515EDB" w:rsidRDefault="00D30C7B">
      <w:pPr>
        <w:rPr>
          <w:rFonts w:ascii="Arial" w:hAnsi="Arial" w:cs="Arial"/>
          <w:sz w:val="24"/>
          <w:szCs w:val="24"/>
        </w:rPr>
      </w:pPr>
    </w:p>
    <w:p w14:paraId="049F998A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lastRenderedPageBreak/>
        <w:t>5. FIGURES AND DATA</w:t>
      </w:r>
    </w:p>
    <w:p w14:paraId="79D1F4F5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>Reuse dissertation Figures 2–3 (lock-in), 4 (PRTR throughput), 5 (Monte Carlo), 7 (torna</w:t>
      </w:r>
      <w:r w:rsidRPr="00515EDB">
        <w:rPr>
          <w:rFonts w:ascii="Arial" w:eastAsia="Times New Roman" w:hAnsi="Arial" w:cs="Arial"/>
          <w:sz w:val="24"/>
          <w:szCs w:val="24"/>
        </w:rPr>
        <w:t>do), 8 (MAC) and 9–11 (SLO), redrawn to journal specifications from the Chapter 4 publication folder. Data: UK-PRTR 2024 XML release for 2023; GOV.UK ETS civil-penalty series; literature cost bands cited in Appendix C. Replication scripts are inventoried i</w:t>
      </w:r>
      <w:r w:rsidRPr="00515EDB">
        <w:rPr>
          <w:rFonts w:ascii="Arial" w:eastAsia="Times New Roman" w:hAnsi="Arial" w:cs="Arial"/>
          <w:sz w:val="24"/>
          <w:szCs w:val="24"/>
        </w:rPr>
        <w:t>n dissertation Appendix A7.</w:t>
      </w:r>
    </w:p>
    <w:p w14:paraId="06AF5331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6. RISKS, ETHICS, TIMELINE</w:t>
      </w:r>
    </w:p>
    <w:p w14:paraId="0F173FC4" w14:textId="4C3F664A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Dual publication: the dissertation is an examined degree output; </w:t>
      </w:r>
      <w:proofErr w:type="gramStart"/>
      <w:r w:rsidR="00515EDB" w:rsidRPr="00515EDB">
        <w:rPr>
          <w:rFonts w:ascii="Arial" w:eastAsia="Times New Roman" w:hAnsi="Arial" w:cs="Arial"/>
          <w:sz w:val="24"/>
          <w:szCs w:val="24"/>
        </w:rPr>
        <w:t>so</w:t>
      </w:r>
      <w:proofErr w:type="gramEnd"/>
      <w:r w:rsidR="00515EDB" w:rsidRPr="00515EDB">
        <w:rPr>
          <w:rFonts w:ascii="Arial" w:eastAsia="Times New Roman" w:hAnsi="Arial" w:cs="Arial"/>
          <w:sz w:val="24"/>
          <w:szCs w:val="24"/>
        </w:rPr>
        <w:t xml:space="preserve"> the </w:t>
      </w:r>
      <w:r w:rsidRPr="00515EDB">
        <w:rPr>
          <w:rFonts w:ascii="Arial" w:eastAsia="Times New Roman" w:hAnsi="Arial" w:cs="Arial"/>
          <w:sz w:val="24"/>
          <w:szCs w:val="24"/>
        </w:rPr>
        <w:t>article must be rewritten, not copied chapter-for-chapter</w:t>
      </w:r>
      <w:r w:rsidRPr="00515EDB">
        <w:rPr>
          <w:rFonts w:ascii="Arial" w:eastAsia="Times New Roman" w:hAnsi="Arial" w:cs="Arial"/>
          <w:sz w:val="24"/>
          <w:szCs w:val="24"/>
        </w:rPr>
        <w:t>.</w:t>
      </w:r>
    </w:p>
    <w:p w14:paraId="09F60831" w14:textId="123DB6BD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Social-media corpu</w:t>
      </w:r>
      <w:r w:rsidR="00515EDB" w:rsidRPr="00515EDB">
        <w:rPr>
          <w:rFonts w:ascii="Arial" w:eastAsia="Times New Roman" w:hAnsi="Arial" w:cs="Arial"/>
          <w:sz w:val="24"/>
          <w:szCs w:val="24"/>
        </w:rPr>
        <w:t>s is to be</w:t>
      </w:r>
      <w:r w:rsidRPr="00515EDB">
        <w:rPr>
          <w:rFonts w:ascii="Arial" w:eastAsia="Times New Roman" w:hAnsi="Arial" w:cs="Arial"/>
          <w:sz w:val="24"/>
          <w:szCs w:val="24"/>
        </w:rPr>
        <w:t xml:space="preserve"> aggregated </w:t>
      </w:r>
      <w:r w:rsidR="00515EDB" w:rsidRPr="00515EDB">
        <w:rPr>
          <w:rFonts w:ascii="Arial" w:eastAsia="Times New Roman" w:hAnsi="Arial" w:cs="Arial"/>
          <w:sz w:val="24"/>
          <w:szCs w:val="24"/>
        </w:rPr>
        <w:t xml:space="preserve">in </w:t>
      </w:r>
      <w:r w:rsidRPr="00515EDB">
        <w:rPr>
          <w:rFonts w:ascii="Arial" w:eastAsia="Times New Roman" w:hAnsi="Arial" w:cs="Arial"/>
          <w:sz w:val="24"/>
          <w:szCs w:val="24"/>
        </w:rPr>
        <w:t>percentages</w:t>
      </w:r>
      <w:r w:rsidR="00515EDB" w:rsidRPr="00515EDB">
        <w:rPr>
          <w:rFonts w:ascii="Arial" w:eastAsia="Times New Roman" w:hAnsi="Arial" w:cs="Arial"/>
          <w:sz w:val="24"/>
          <w:szCs w:val="24"/>
        </w:rPr>
        <w:t xml:space="preserve"> and</w:t>
      </w:r>
      <w:r w:rsidRPr="00515EDB">
        <w:rPr>
          <w:rFonts w:ascii="Arial" w:eastAsia="Times New Roman" w:hAnsi="Arial" w:cs="Arial"/>
          <w:sz w:val="24"/>
          <w:szCs w:val="24"/>
        </w:rPr>
        <w:t xml:space="preserve"> not reproduce identifiable posts.</w:t>
      </w:r>
    </w:p>
    <w:p w14:paraId="3EA4E5F1" w14:textId="77777777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Timeline: supervisor comment (if any) by end August 2026; recast manuscript October–November 2026; ERSS submission targeted Q4 2026 / Q1 202</w:t>
      </w:r>
      <w:r w:rsidRPr="00515EDB">
        <w:rPr>
          <w:rFonts w:ascii="Arial" w:eastAsia="Times New Roman" w:hAnsi="Arial" w:cs="Arial"/>
          <w:sz w:val="24"/>
          <w:szCs w:val="24"/>
        </w:rPr>
        <w:t>7.</w:t>
      </w:r>
    </w:p>
    <w:p w14:paraId="5716137C" w14:textId="64981DD7" w:rsidR="00D30C7B" w:rsidRPr="00515EDB" w:rsidRDefault="00D2668C">
      <w:pPr>
        <w:pStyle w:val="ListBullet"/>
        <w:spacing w:after="8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 Desk-reject risk: if TEA is presented as a FEED-quality cost model. Mitigate</w:t>
      </w:r>
      <w:r w:rsidR="00515EDB" w:rsidRPr="00515EDB">
        <w:rPr>
          <w:rFonts w:ascii="Arial" w:eastAsia="Times New Roman" w:hAnsi="Arial" w:cs="Arial"/>
          <w:sz w:val="24"/>
          <w:szCs w:val="24"/>
        </w:rPr>
        <w:t>d</w:t>
      </w:r>
      <w:r w:rsidRPr="00515EDB">
        <w:rPr>
          <w:rFonts w:ascii="Arial" w:eastAsia="Times New Roman" w:hAnsi="Arial" w:cs="Arial"/>
          <w:sz w:val="24"/>
          <w:szCs w:val="24"/>
        </w:rPr>
        <w:t xml:space="preserve"> by stating literature-parameter Monte Carlo in the first methods paragraph.</w:t>
      </w:r>
    </w:p>
    <w:p w14:paraId="04F65A16" w14:textId="77777777" w:rsidR="00D30C7B" w:rsidRPr="00515EDB" w:rsidRDefault="00D2668C">
      <w:pPr>
        <w:spacing w:before="280" w:after="120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b/>
          <w:sz w:val="24"/>
          <w:szCs w:val="24"/>
        </w:rPr>
        <w:t>7. REQUEST TO SUPERVISOR</w:t>
      </w:r>
    </w:p>
    <w:p w14:paraId="79EAAFE4" w14:textId="77777777" w:rsidR="00D30C7B" w:rsidRPr="00515EDB" w:rsidRDefault="00D2668C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515EDB">
        <w:rPr>
          <w:rFonts w:ascii="Arial" w:eastAsia="Times New Roman" w:hAnsi="Arial" w:cs="Arial"/>
          <w:sz w:val="24"/>
          <w:szCs w:val="24"/>
        </w:rPr>
        <w:t xml:space="preserve">This plan is submitted as a MESPOM capstone deliverable. Comment from </w:t>
      </w:r>
      <w:r w:rsidRPr="00515EDB">
        <w:rPr>
          <w:rFonts w:ascii="Arial" w:eastAsia="Times New Roman" w:hAnsi="Arial" w:cs="Arial"/>
          <w:sz w:val="24"/>
          <w:szCs w:val="24"/>
        </w:rPr>
        <w:t>Prof. Kane is optional. Useful steer, if offered: (i) ERSS versus Climate Policy as first submission; (ii) whether the SLO strand should remain co-equal or move to a short supporting section; (iii) any restriction on using Peak Cluster consultation materia</w:t>
      </w:r>
      <w:r w:rsidRPr="00515EDB">
        <w:rPr>
          <w:rFonts w:ascii="Arial" w:eastAsia="Times New Roman" w:hAnsi="Arial" w:cs="Arial"/>
          <w:sz w:val="24"/>
          <w:szCs w:val="24"/>
        </w:rPr>
        <w:t>ls beyond what is already in the examined dissertation.</w:t>
      </w:r>
    </w:p>
    <w:sectPr w:rsidR="00D30C7B" w:rsidRPr="00515EDB" w:rsidSect="00034616">
      <w:footerReference w:type="default" r:id="rId8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670F4" w14:textId="77777777" w:rsidR="00D2668C" w:rsidRDefault="00D2668C">
      <w:pPr>
        <w:spacing w:after="0" w:line="240" w:lineRule="auto"/>
      </w:pPr>
      <w:r>
        <w:separator/>
      </w:r>
    </w:p>
  </w:endnote>
  <w:endnote w:type="continuationSeparator" w:id="0">
    <w:p w14:paraId="73E5942E" w14:textId="77777777" w:rsidR="00D2668C" w:rsidRDefault="00D266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62335" w14:textId="77777777" w:rsidR="00D30C7B" w:rsidRPr="00515EDB" w:rsidRDefault="00D2668C">
    <w:pPr>
      <w:pStyle w:val="Footer"/>
      <w:jc w:val="center"/>
      <w:rPr>
        <w:rFonts w:ascii="Arial" w:hAnsi="Arial" w:cs="Arial"/>
      </w:rPr>
    </w:pPr>
    <w:r w:rsidRPr="00515EDB">
      <w:rPr>
        <w:rFonts w:ascii="Arial" w:eastAsia="Times New Roman" w:hAnsi="Arial" w:cs="Arial"/>
        <w:color w:val="555555"/>
        <w:sz w:val="18"/>
      </w:rPr>
      <w:t xml:space="preserve">Alhassan Abdulai  |  MESPOM Year 2 Capstone  |  August 2026  |  Page </w:t>
    </w:r>
    <w:r w:rsidRPr="00515EDB">
      <w:rPr>
        <w:rFonts w:ascii="Arial" w:eastAsia="Times New Roman" w:hAnsi="Arial" w:cs="Arial"/>
        <w:color w:val="555555"/>
        <w:sz w:val="18"/>
      </w:rPr>
      <w:fldChar w:fldCharType="begin"/>
    </w:r>
    <w:r w:rsidRPr="00515EDB">
      <w:rPr>
        <w:rFonts w:ascii="Arial" w:eastAsia="Times New Roman" w:hAnsi="Arial" w:cs="Arial"/>
        <w:color w:val="555555"/>
        <w:sz w:val="18"/>
      </w:rPr>
      <w:instrText xml:space="preserve"> PAGE </w:instrText>
    </w:r>
    <w:r w:rsidR="00515EDB" w:rsidRPr="00515EDB">
      <w:rPr>
        <w:rFonts w:ascii="Arial" w:eastAsia="Times New Roman" w:hAnsi="Arial" w:cs="Arial"/>
        <w:color w:val="555555"/>
        <w:sz w:val="18"/>
      </w:rPr>
      <w:fldChar w:fldCharType="separate"/>
    </w:r>
    <w:r w:rsidR="00515EDB" w:rsidRPr="00515EDB">
      <w:rPr>
        <w:rFonts w:ascii="Arial" w:eastAsia="Times New Roman" w:hAnsi="Arial" w:cs="Arial"/>
        <w:noProof/>
        <w:color w:val="555555"/>
        <w:sz w:val="18"/>
      </w:rPr>
      <w:t>1</w:t>
    </w:r>
    <w:r w:rsidRPr="00515EDB">
      <w:rPr>
        <w:rFonts w:ascii="Arial" w:eastAsia="Times New Roman" w:hAnsi="Arial" w:cs="Arial"/>
        <w:color w:val="55555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E060F" w14:textId="77777777" w:rsidR="00D2668C" w:rsidRDefault="00D2668C">
      <w:pPr>
        <w:spacing w:after="0" w:line="240" w:lineRule="auto"/>
      </w:pPr>
      <w:r>
        <w:separator/>
      </w:r>
    </w:p>
  </w:footnote>
  <w:footnote w:type="continuationSeparator" w:id="0">
    <w:p w14:paraId="31459FF4" w14:textId="77777777" w:rsidR="00D2668C" w:rsidRDefault="00D266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15EDB"/>
    <w:rsid w:val="00AA1D8D"/>
    <w:rsid w:val="00B47730"/>
    <w:rsid w:val="00CB0664"/>
    <w:rsid w:val="00D2668C"/>
    <w:rsid w:val="00D30C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799B32"/>
  <w14:defaultImageDpi w14:val="300"/>
  <w15:docId w15:val="{1129D77A-DC22-4114-9F16-A945BA2C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515ED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1010</Words>
  <Characters>5758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Alhassan Abdulai</cp:lastModifiedBy>
  <cp:revision>2</cp:revision>
  <dcterms:created xsi:type="dcterms:W3CDTF">2026-08-15T07:45:00Z</dcterms:created>
  <dcterms:modified xsi:type="dcterms:W3CDTF">2026-08-15T07:45:00Z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9c354a83-865f-4db4-991b-1450ec8f9a16</vt:lpwstr>
  </property>
</Properties>
</file>