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C75C18" w14:textId="77777777" w:rsidR="00075BA6" w:rsidRPr="00295189" w:rsidRDefault="00F438EB">
      <w:pPr>
        <w:spacing w:after="40"/>
        <w:jc w:val="center"/>
        <w:rPr>
          <w:rFonts w:ascii="Arial" w:hAnsi="Arial" w:cs="Arial"/>
        </w:rPr>
      </w:pPr>
      <w:r w:rsidRPr="00295189">
        <w:rPr>
          <w:rFonts w:ascii="Arial" w:eastAsia="Calibri" w:hAnsi="Arial" w:cs="Arial"/>
          <w:b/>
          <w:bCs/>
          <w:color w:val="5A5A5A"/>
        </w:rPr>
        <w:t>MSc Thesis Abstract</w:t>
      </w:r>
    </w:p>
    <w:p w14:paraId="1024C875" w14:textId="77777777" w:rsidR="00075BA6" w:rsidRPr="00295189" w:rsidRDefault="00F438EB">
      <w:pPr>
        <w:spacing w:after="200"/>
        <w:jc w:val="center"/>
        <w:rPr>
          <w:rFonts w:ascii="Arial" w:hAnsi="Arial" w:cs="Arial"/>
        </w:rPr>
      </w:pPr>
      <w:r w:rsidRPr="00295189">
        <w:rPr>
          <w:rFonts w:ascii="Arial" w:eastAsia="Calibri" w:hAnsi="Arial" w:cs="Arial"/>
          <w:b/>
          <w:bCs/>
          <w:color w:val="1F3864"/>
          <w:sz w:val="26"/>
          <w:szCs w:val="26"/>
        </w:rPr>
        <w:t xml:space="preserve">Path Dependency and Cement Industry </w:t>
      </w:r>
      <w:proofErr w:type="spellStart"/>
      <w:r w:rsidRPr="00295189">
        <w:rPr>
          <w:rFonts w:ascii="Arial" w:eastAsia="Calibri" w:hAnsi="Arial" w:cs="Arial"/>
          <w:b/>
          <w:bCs/>
          <w:color w:val="1F3864"/>
          <w:sz w:val="26"/>
          <w:szCs w:val="26"/>
        </w:rPr>
        <w:t>Decarbonisation</w:t>
      </w:r>
      <w:proofErr w:type="spellEnd"/>
      <w:r w:rsidRPr="00295189">
        <w:rPr>
          <w:rFonts w:ascii="Arial" w:eastAsia="Calibri" w:hAnsi="Arial" w:cs="Arial"/>
          <w:b/>
          <w:bCs/>
          <w:color w:val="1F3864"/>
          <w:sz w:val="26"/>
          <w:szCs w:val="26"/>
        </w:rPr>
        <w:t xml:space="preserve"> in the UK: A Case Study of the Peak Cluster CCS Project</w:t>
      </w:r>
    </w:p>
    <w:p w14:paraId="6E2AEBC5" w14:textId="77777777" w:rsidR="00075BA6" w:rsidRPr="00295189" w:rsidRDefault="00F438EB">
      <w:pPr>
        <w:spacing w:after="40"/>
        <w:jc w:val="center"/>
        <w:rPr>
          <w:rFonts w:ascii="Arial" w:hAnsi="Arial" w:cs="Arial"/>
        </w:rPr>
      </w:pPr>
      <w:r w:rsidRPr="00295189">
        <w:rPr>
          <w:rFonts w:ascii="Arial" w:eastAsia="Calibri" w:hAnsi="Arial" w:cs="Arial"/>
          <w:color w:val="222222"/>
        </w:rPr>
        <w:t>Alhassan Abdulai</w:t>
      </w:r>
    </w:p>
    <w:p w14:paraId="7FA3D867" w14:textId="77777777" w:rsidR="00075BA6" w:rsidRPr="00295189" w:rsidRDefault="00F438EB">
      <w:pPr>
        <w:spacing w:after="20"/>
        <w:jc w:val="center"/>
        <w:rPr>
          <w:rFonts w:ascii="Arial" w:hAnsi="Arial" w:cs="Arial"/>
        </w:rPr>
      </w:pPr>
      <w:r w:rsidRPr="00295189">
        <w:rPr>
          <w:rFonts w:ascii="Arial" w:eastAsia="Calibri" w:hAnsi="Arial" w:cs="Arial"/>
          <w:i/>
          <w:iCs/>
          <w:color w:val="5A5A5A"/>
          <w:sz w:val="18"/>
          <w:szCs w:val="18"/>
        </w:rPr>
        <w:t>MSc Environmental Science, Policy and Management — Erasmus Mundus (MESPOM)</w:t>
      </w:r>
    </w:p>
    <w:p w14:paraId="4BB1E0BA" w14:textId="77777777" w:rsidR="00075BA6" w:rsidRPr="00295189" w:rsidRDefault="00F438EB">
      <w:pPr>
        <w:spacing w:after="20"/>
        <w:jc w:val="center"/>
        <w:rPr>
          <w:rFonts w:ascii="Arial" w:hAnsi="Arial" w:cs="Arial"/>
        </w:rPr>
      </w:pPr>
      <w:r w:rsidRPr="00295189">
        <w:rPr>
          <w:rFonts w:ascii="Arial" w:eastAsia="Calibri" w:hAnsi="Arial" w:cs="Arial"/>
          <w:i/>
          <w:iCs/>
          <w:color w:val="5A5A5A"/>
          <w:sz w:val="18"/>
          <w:szCs w:val="18"/>
        </w:rPr>
        <w:t>University of Manchester, University of the Aegean &amp; Central European University · Graduated with Distinction, 2026</w:t>
      </w:r>
    </w:p>
    <w:p w14:paraId="02071C69" w14:textId="77777777" w:rsidR="00075BA6" w:rsidRPr="00295189" w:rsidRDefault="00F438EB">
      <w:pPr>
        <w:spacing w:after="280"/>
        <w:jc w:val="center"/>
        <w:rPr>
          <w:rFonts w:ascii="Arial" w:hAnsi="Arial" w:cs="Arial"/>
        </w:rPr>
      </w:pPr>
      <w:r w:rsidRPr="00295189">
        <w:rPr>
          <w:rFonts w:ascii="Arial" w:eastAsia="Calibri" w:hAnsi="Arial" w:cs="Arial"/>
          <w:i/>
          <w:iCs/>
          <w:color w:val="5A5A5A"/>
          <w:sz w:val="18"/>
          <w:szCs w:val="18"/>
        </w:rPr>
        <w:t>Supervisor: Prof. Ian Kane</w:t>
      </w:r>
    </w:p>
    <w:p w14:paraId="65D99DA4" w14:textId="77777777" w:rsidR="00075BA6" w:rsidRPr="00F438EB" w:rsidRDefault="00F438EB">
      <w:pPr>
        <w:spacing w:after="100"/>
        <w:jc w:val="both"/>
        <w:rPr>
          <w:rFonts w:ascii="Arial" w:hAnsi="Arial" w:cs="Arial"/>
          <w:sz w:val="22"/>
          <w:szCs w:val="22"/>
        </w:rPr>
      </w:pPr>
      <w:r w:rsidRPr="00F438EB">
        <w:rPr>
          <w:rFonts w:ascii="Arial" w:eastAsia="Calibri" w:hAnsi="Arial" w:cs="Arial"/>
          <w:color w:val="222222"/>
          <w:sz w:val="22"/>
          <w:szCs w:val="22"/>
        </w:rPr>
        <w:t xml:space="preserve">As the world pursues efforts to </w:t>
      </w:r>
      <w:proofErr w:type="spellStart"/>
      <w:r w:rsidRPr="00F438EB">
        <w:rPr>
          <w:rFonts w:ascii="Arial" w:eastAsia="Calibri" w:hAnsi="Arial" w:cs="Arial"/>
          <w:color w:val="222222"/>
          <w:sz w:val="22"/>
          <w:szCs w:val="22"/>
        </w:rPr>
        <w:t>decarb</w:t>
      </w:r>
      <w:r w:rsidRPr="00F438EB">
        <w:rPr>
          <w:rFonts w:ascii="Arial" w:eastAsia="Calibri" w:hAnsi="Arial" w:cs="Arial"/>
          <w:color w:val="222222"/>
          <w:sz w:val="22"/>
          <w:szCs w:val="22"/>
        </w:rPr>
        <w:t>onise</w:t>
      </w:r>
      <w:proofErr w:type="spellEnd"/>
      <w:r w:rsidRPr="00F438EB">
        <w:rPr>
          <w:rFonts w:ascii="Arial" w:eastAsia="Calibri" w:hAnsi="Arial" w:cs="Arial"/>
          <w:color w:val="222222"/>
          <w:sz w:val="22"/>
          <w:szCs w:val="22"/>
        </w:rPr>
        <w:t xml:space="preserve"> its hard-to-abate sectors, the Peak Cluster–Morecambe project represents one of the most ambitious CCS initiatives in the cement industry. With a proposal to transport CO</w:t>
      </w:r>
      <w:r w:rsidRPr="00F438EB">
        <w:rPr>
          <w:rFonts w:ascii="Cambria Math" w:eastAsia="Calibri" w:hAnsi="Cambria Math" w:cs="Cambria Math"/>
          <w:color w:val="222222"/>
          <w:sz w:val="22"/>
          <w:szCs w:val="22"/>
        </w:rPr>
        <w:t>₂</w:t>
      </w:r>
      <w:r w:rsidRPr="00F438EB">
        <w:rPr>
          <w:rFonts w:ascii="Arial" w:eastAsia="Calibri" w:hAnsi="Arial" w:cs="Arial"/>
          <w:color w:val="222222"/>
          <w:sz w:val="22"/>
          <w:szCs w:val="22"/>
        </w:rPr>
        <w:t xml:space="preserve"> emissions from anchor cement and lime facilities in the UK to depleted gas res</w:t>
      </w:r>
      <w:r w:rsidRPr="00F438EB">
        <w:rPr>
          <w:rFonts w:ascii="Arial" w:eastAsia="Calibri" w:hAnsi="Arial" w:cs="Arial"/>
          <w:color w:val="222222"/>
          <w:sz w:val="22"/>
          <w:szCs w:val="22"/>
        </w:rPr>
        <w:t xml:space="preserve">ervoirs, this research evaluates the policy, economic viability and public perception of this project using a convergent parallel mixed-methods case study design, combining critical document analysis, techno-economic assessment and a discourse analysis of </w:t>
      </w:r>
      <w:r w:rsidRPr="00F438EB">
        <w:rPr>
          <w:rFonts w:ascii="Arial" w:eastAsia="Calibri" w:hAnsi="Arial" w:cs="Arial"/>
          <w:color w:val="222222"/>
          <w:sz w:val="22"/>
          <w:szCs w:val="22"/>
        </w:rPr>
        <w:t xml:space="preserve">social </w:t>
      </w:r>
      <w:proofErr w:type="spellStart"/>
      <w:r w:rsidRPr="00F438EB">
        <w:rPr>
          <w:rFonts w:ascii="Arial" w:eastAsia="Calibri" w:hAnsi="Arial" w:cs="Arial"/>
          <w:color w:val="222222"/>
          <w:sz w:val="22"/>
          <w:szCs w:val="22"/>
        </w:rPr>
        <w:t>licence</w:t>
      </w:r>
      <w:proofErr w:type="spellEnd"/>
      <w:r w:rsidRPr="00F438EB">
        <w:rPr>
          <w:rFonts w:ascii="Arial" w:eastAsia="Calibri" w:hAnsi="Arial" w:cs="Arial"/>
          <w:color w:val="222222"/>
          <w:sz w:val="22"/>
          <w:szCs w:val="22"/>
        </w:rPr>
        <w:t xml:space="preserve"> to operate.</w:t>
      </w:r>
    </w:p>
    <w:p w14:paraId="688190F1" w14:textId="77777777" w:rsidR="00075BA6" w:rsidRPr="00F438EB" w:rsidRDefault="00F438EB">
      <w:pPr>
        <w:spacing w:after="100"/>
        <w:jc w:val="both"/>
        <w:rPr>
          <w:rFonts w:ascii="Arial" w:hAnsi="Arial" w:cs="Arial"/>
          <w:sz w:val="22"/>
          <w:szCs w:val="22"/>
        </w:rPr>
      </w:pPr>
      <w:r w:rsidRPr="00F438EB">
        <w:rPr>
          <w:rFonts w:ascii="Arial" w:eastAsia="Calibri" w:hAnsi="Arial" w:cs="Arial"/>
          <w:color w:val="222222"/>
          <w:sz w:val="22"/>
          <w:szCs w:val="22"/>
        </w:rPr>
        <w:t>The analysis of government and industry documents using a lock-in framework reveals a strong path-dependent policy environment with a mean lock-in score of 4.4 out of 7, with limited allowance for alternative pathways. The techno</w:t>
      </w:r>
      <w:r w:rsidRPr="00F438EB">
        <w:rPr>
          <w:rFonts w:ascii="Arial" w:eastAsia="Calibri" w:hAnsi="Arial" w:cs="Arial"/>
          <w:color w:val="222222"/>
          <w:sz w:val="22"/>
          <w:szCs w:val="22"/>
        </w:rPr>
        <w:t>-economic component employs a Monte Carlo simulation to assess the levelized cost of CO</w:t>
      </w:r>
      <w:r w:rsidRPr="00F438EB">
        <w:rPr>
          <w:rFonts w:ascii="Cambria Math" w:eastAsia="Calibri" w:hAnsi="Cambria Math" w:cs="Cambria Math"/>
          <w:color w:val="222222"/>
          <w:sz w:val="22"/>
          <w:szCs w:val="22"/>
        </w:rPr>
        <w:t>₂</w:t>
      </w:r>
      <w:r w:rsidRPr="00F438EB">
        <w:rPr>
          <w:rFonts w:ascii="Arial" w:eastAsia="Calibri" w:hAnsi="Arial" w:cs="Arial"/>
          <w:color w:val="222222"/>
          <w:sz w:val="22"/>
          <w:szCs w:val="22"/>
        </w:rPr>
        <w:t xml:space="preserve"> avoidance, with results indicating a median cost of USD 131.4 per </w:t>
      </w:r>
      <w:proofErr w:type="spellStart"/>
      <w:r w:rsidRPr="00F438EB">
        <w:rPr>
          <w:rFonts w:ascii="Arial" w:eastAsia="Calibri" w:hAnsi="Arial" w:cs="Arial"/>
          <w:color w:val="222222"/>
          <w:sz w:val="22"/>
          <w:szCs w:val="22"/>
        </w:rPr>
        <w:t>tonne</w:t>
      </w:r>
      <w:proofErr w:type="spellEnd"/>
      <w:r w:rsidRPr="00F438EB">
        <w:rPr>
          <w:rFonts w:ascii="Arial" w:eastAsia="Calibri" w:hAnsi="Arial" w:cs="Arial"/>
          <w:color w:val="222222"/>
          <w:sz w:val="22"/>
          <w:szCs w:val="22"/>
        </w:rPr>
        <w:t xml:space="preserve">, which substantially exceeds the 2026 UK ETS reference price of USD 65.2, implying a long-term </w:t>
      </w:r>
      <w:r w:rsidRPr="00F438EB">
        <w:rPr>
          <w:rFonts w:ascii="Arial" w:eastAsia="Calibri" w:hAnsi="Arial" w:cs="Arial"/>
          <w:color w:val="222222"/>
          <w:sz w:val="22"/>
          <w:szCs w:val="22"/>
        </w:rPr>
        <w:t xml:space="preserve">subsidy requirement to sustain CCS. Comparative marginal abatement cost analysis further demonstrates substitute </w:t>
      </w:r>
      <w:proofErr w:type="spellStart"/>
      <w:r w:rsidRPr="00F438EB">
        <w:rPr>
          <w:rFonts w:ascii="Arial" w:eastAsia="Calibri" w:hAnsi="Arial" w:cs="Arial"/>
          <w:color w:val="222222"/>
          <w:sz w:val="22"/>
          <w:szCs w:val="22"/>
        </w:rPr>
        <w:t>decarbonisation</w:t>
      </w:r>
      <w:proofErr w:type="spellEnd"/>
      <w:r w:rsidRPr="00F438EB">
        <w:rPr>
          <w:rFonts w:ascii="Arial" w:eastAsia="Calibri" w:hAnsi="Arial" w:cs="Arial"/>
          <w:color w:val="222222"/>
          <w:sz w:val="22"/>
          <w:szCs w:val="22"/>
        </w:rPr>
        <w:t xml:space="preserve"> options that could achieve meaningful emission reduction at a lower cost.</w:t>
      </w:r>
    </w:p>
    <w:p w14:paraId="4DA261C4" w14:textId="77777777" w:rsidR="00075BA6" w:rsidRPr="00F438EB" w:rsidRDefault="00F438EB">
      <w:pPr>
        <w:spacing w:after="100"/>
        <w:jc w:val="both"/>
        <w:rPr>
          <w:rFonts w:ascii="Arial" w:hAnsi="Arial" w:cs="Arial"/>
          <w:sz w:val="22"/>
          <w:szCs w:val="22"/>
        </w:rPr>
      </w:pPr>
      <w:r w:rsidRPr="00F438EB">
        <w:rPr>
          <w:rFonts w:ascii="Arial" w:eastAsia="Calibri" w:hAnsi="Arial" w:cs="Arial"/>
          <w:color w:val="222222"/>
          <w:sz w:val="22"/>
          <w:szCs w:val="22"/>
        </w:rPr>
        <w:t>Discourse analysis of 191 social media records indica</w:t>
      </w:r>
      <w:r w:rsidRPr="00F438EB">
        <w:rPr>
          <w:rFonts w:ascii="Arial" w:eastAsia="Calibri" w:hAnsi="Arial" w:cs="Arial"/>
          <w:color w:val="222222"/>
          <w:sz w:val="22"/>
          <w:szCs w:val="22"/>
        </w:rPr>
        <w:t>tes that the project has not secured a social license to operate beyond the conditional holding and scrutiny phase. Public concerns are framed around place identity and landscape protection, procedural fairness, and environmental and safety risks, resultin</w:t>
      </w:r>
      <w:r w:rsidRPr="00F438EB">
        <w:rPr>
          <w:rFonts w:ascii="Arial" w:eastAsia="Calibri" w:hAnsi="Arial" w:cs="Arial"/>
          <w:color w:val="222222"/>
          <w:sz w:val="22"/>
          <w:szCs w:val="22"/>
        </w:rPr>
        <w:t>g in widespread distrust of project developers and regulatory bodies.</w:t>
      </w:r>
    </w:p>
    <w:p w14:paraId="698D6B7A" w14:textId="77777777" w:rsidR="00075BA6" w:rsidRPr="00F438EB" w:rsidRDefault="00F438EB">
      <w:pPr>
        <w:spacing w:after="100"/>
        <w:jc w:val="both"/>
        <w:rPr>
          <w:rFonts w:ascii="Arial" w:hAnsi="Arial" w:cs="Arial"/>
          <w:sz w:val="22"/>
          <w:szCs w:val="22"/>
        </w:rPr>
      </w:pPr>
      <w:r w:rsidRPr="00F438EB">
        <w:rPr>
          <w:rFonts w:ascii="Arial" w:eastAsia="Calibri" w:hAnsi="Arial" w:cs="Arial"/>
          <w:color w:val="222222"/>
          <w:sz w:val="22"/>
          <w:szCs w:val="22"/>
        </w:rPr>
        <w:t xml:space="preserve">Integrating these findings, the study uncovers a generative mechanism where path-dependent policy regimes advance CCS deployment while simultaneously undermining social legitimacy. This </w:t>
      </w:r>
      <w:r w:rsidRPr="00F438EB">
        <w:rPr>
          <w:rFonts w:ascii="Arial" w:eastAsia="Calibri" w:hAnsi="Arial" w:cs="Arial"/>
          <w:color w:val="222222"/>
          <w:sz w:val="22"/>
          <w:szCs w:val="22"/>
        </w:rPr>
        <w:t xml:space="preserve">study concludes that despite institutional lock-in in </w:t>
      </w:r>
      <w:proofErr w:type="spellStart"/>
      <w:r w:rsidRPr="00F438EB">
        <w:rPr>
          <w:rFonts w:ascii="Arial" w:eastAsia="Calibri" w:hAnsi="Arial" w:cs="Arial"/>
          <w:color w:val="222222"/>
          <w:sz w:val="22"/>
          <w:szCs w:val="22"/>
        </w:rPr>
        <w:t>decarbonisation</w:t>
      </w:r>
      <w:proofErr w:type="spellEnd"/>
      <w:r w:rsidRPr="00F438EB">
        <w:rPr>
          <w:rFonts w:ascii="Arial" w:eastAsia="Calibri" w:hAnsi="Arial" w:cs="Arial"/>
          <w:color w:val="222222"/>
          <w:sz w:val="22"/>
          <w:szCs w:val="22"/>
        </w:rPr>
        <w:t xml:space="preserve"> pathways in the UK cement industry, opportunities remain for procedural reform, stakeholder engagement and pluralistic approaches to achieving net-zero targets.</w:t>
      </w:r>
    </w:p>
    <w:p w14:paraId="716107E6" w14:textId="77777777" w:rsidR="00075BA6" w:rsidRPr="00F438EB" w:rsidRDefault="00F438EB">
      <w:pPr>
        <w:spacing w:before="160"/>
        <w:rPr>
          <w:rFonts w:ascii="Arial" w:hAnsi="Arial" w:cs="Arial"/>
          <w:sz w:val="22"/>
          <w:szCs w:val="22"/>
        </w:rPr>
      </w:pPr>
      <w:r w:rsidRPr="00F438EB">
        <w:rPr>
          <w:rFonts w:ascii="Arial" w:eastAsia="Calibri" w:hAnsi="Arial" w:cs="Arial"/>
          <w:b/>
          <w:bCs/>
          <w:color w:val="222222"/>
          <w:sz w:val="22"/>
          <w:szCs w:val="22"/>
        </w:rPr>
        <w:t xml:space="preserve">Keywords: </w:t>
      </w:r>
      <w:r w:rsidRPr="00F438EB">
        <w:rPr>
          <w:rFonts w:ascii="Arial" w:eastAsia="Calibri" w:hAnsi="Arial" w:cs="Arial"/>
          <w:i/>
          <w:iCs/>
          <w:color w:val="222222"/>
          <w:sz w:val="22"/>
          <w:szCs w:val="22"/>
        </w:rPr>
        <w:t xml:space="preserve">carbon capture </w:t>
      </w:r>
      <w:r w:rsidRPr="00F438EB">
        <w:rPr>
          <w:rFonts w:ascii="Arial" w:eastAsia="Calibri" w:hAnsi="Arial" w:cs="Arial"/>
          <w:i/>
          <w:iCs/>
          <w:color w:val="222222"/>
          <w:sz w:val="22"/>
          <w:szCs w:val="22"/>
        </w:rPr>
        <w:t xml:space="preserve">and storage; carbon lock-in; cement </w:t>
      </w:r>
      <w:proofErr w:type="spellStart"/>
      <w:r w:rsidRPr="00F438EB">
        <w:rPr>
          <w:rFonts w:ascii="Arial" w:eastAsia="Calibri" w:hAnsi="Arial" w:cs="Arial"/>
          <w:i/>
          <w:iCs/>
          <w:color w:val="222222"/>
          <w:sz w:val="22"/>
          <w:szCs w:val="22"/>
        </w:rPr>
        <w:t>decarbonisation</w:t>
      </w:r>
      <w:proofErr w:type="spellEnd"/>
      <w:r w:rsidRPr="00F438EB">
        <w:rPr>
          <w:rFonts w:ascii="Arial" w:eastAsia="Calibri" w:hAnsi="Arial" w:cs="Arial"/>
          <w:i/>
          <w:iCs/>
          <w:color w:val="222222"/>
          <w:sz w:val="22"/>
          <w:szCs w:val="22"/>
        </w:rPr>
        <w:t>; path dependency; techno-economic analysis; Peak Cluster</w:t>
      </w:r>
    </w:p>
    <w:sectPr w:rsidR="00075BA6" w:rsidRPr="00F438EB"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9E7AAB"/>
    <w:multiLevelType w:val="hybridMultilevel"/>
    <w:tmpl w:val="986042F0"/>
    <w:lvl w:ilvl="0" w:tplc="5A84F28A">
      <w:start w:val="1"/>
      <w:numFmt w:val="bullet"/>
      <w:lvlText w:val="●"/>
      <w:lvlJc w:val="left"/>
      <w:pPr>
        <w:ind w:left="720" w:hanging="360"/>
      </w:pPr>
    </w:lvl>
    <w:lvl w:ilvl="1" w:tplc="5F4C39D2">
      <w:start w:val="1"/>
      <w:numFmt w:val="bullet"/>
      <w:lvlText w:val="○"/>
      <w:lvlJc w:val="left"/>
      <w:pPr>
        <w:ind w:left="1440" w:hanging="360"/>
      </w:pPr>
    </w:lvl>
    <w:lvl w:ilvl="2" w:tplc="8DBCC98E">
      <w:start w:val="1"/>
      <w:numFmt w:val="bullet"/>
      <w:lvlText w:val="■"/>
      <w:lvlJc w:val="left"/>
      <w:pPr>
        <w:ind w:left="2160" w:hanging="360"/>
      </w:pPr>
    </w:lvl>
    <w:lvl w:ilvl="3" w:tplc="E6CA50E0">
      <w:start w:val="1"/>
      <w:numFmt w:val="bullet"/>
      <w:lvlText w:val="●"/>
      <w:lvlJc w:val="left"/>
      <w:pPr>
        <w:ind w:left="2880" w:hanging="360"/>
      </w:pPr>
    </w:lvl>
    <w:lvl w:ilvl="4" w:tplc="33D4C66C">
      <w:start w:val="1"/>
      <w:numFmt w:val="bullet"/>
      <w:lvlText w:val="○"/>
      <w:lvlJc w:val="left"/>
      <w:pPr>
        <w:ind w:left="3600" w:hanging="360"/>
      </w:pPr>
    </w:lvl>
    <w:lvl w:ilvl="5" w:tplc="A69E7D3E">
      <w:start w:val="1"/>
      <w:numFmt w:val="bullet"/>
      <w:lvlText w:val="■"/>
      <w:lvlJc w:val="left"/>
      <w:pPr>
        <w:ind w:left="4320" w:hanging="360"/>
      </w:pPr>
    </w:lvl>
    <w:lvl w:ilvl="6" w:tplc="13BC70FA">
      <w:start w:val="1"/>
      <w:numFmt w:val="bullet"/>
      <w:lvlText w:val="●"/>
      <w:lvlJc w:val="left"/>
      <w:pPr>
        <w:ind w:left="5040" w:hanging="360"/>
      </w:pPr>
    </w:lvl>
    <w:lvl w:ilvl="7" w:tplc="B1E6424E">
      <w:start w:val="1"/>
      <w:numFmt w:val="bullet"/>
      <w:lvlText w:val="●"/>
      <w:lvlJc w:val="left"/>
      <w:pPr>
        <w:ind w:left="5760" w:hanging="360"/>
      </w:pPr>
    </w:lvl>
    <w:lvl w:ilvl="8" w:tplc="0E78627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BA6"/>
    <w:rsid w:val="00075BA6"/>
    <w:rsid w:val="00295189"/>
    <w:rsid w:val="00F43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1F539"/>
  <w15:docId w15:val="{24890F03-2CCD-45C8-984D-AF6439521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381</Words>
  <Characters>2177</Characters>
  <Application>Microsoft Office Word</Application>
  <DocSecurity>0</DocSecurity>
  <Lines>18</Lines>
  <Paragraphs>5</Paragraphs>
  <ScaleCrop>false</ScaleCrop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Alhassan Abdulai</cp:lastModifiedBy>
  <cp:revision>3</cp:revision>
  <dcterms:created xsi:type="dcterms:W3CDTF">2026-07-04T20:13:00Z</dcterms:created>
  <dcterms:modified xsi:type="dcterms:W3CDTF">2026-07-04T20:13:00Z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a1332610-4b4b-4948-abaa-6d608ee74fed</vt:lpwstr>
  </property>
</Properties>
</file>