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6"/>
          <w:szCs w:val="26"/>
        </w:rPr>
        <w:t xml:space="preserve">Path Dependency and Cement Industry Decarbonisation in the UK:</w:t>
      </w:r>
    </w:p>
    <w:p>
      <w:pPr>
        <w:spacing w:after="120" w:before="0"/>
        <w:jc w:val="center"/>
      </w:pPr>
      <w:r>
        <w:rPr>
          <w:rFonts w:ascii="Times New Roman" w:cs="Times New Roman" w:eastAsia="Times New Roman" w:hAnsi="Times New Roman"/>
          <w:b/>
          <w:bCs/>
          <w:sz w:val="26"/>
          <w:szCs w:val="26"/>
        </w:rPr>
        <w:t xml:space="preserve">A Case Study of the Peak Cluster CCS Project</w:t>
      </w:r>
    </w:p>
    <w:p>
      <w:pPr>
        <w:spacing w:after="80" w:before="80"/>
        <w:jc w:val="center"/>
      </w:pPr>
      <w:r>
        <w:rPr>
          <w:rFonts w:ascii="Times New Roman" w:cs="Times New Roman" w:eastAsia="Times New Roman" w:hAnsi="Times New Roman"/>
          <w:sz w:val="24"/>
          <w:szCs w:val="24"/>
        </w:rPr>
        <w:t xml:space="preserve">Alhassan Abdulai</w:t>
      </w:r>
    </w:p>
    <w:p>
      <w:pPr>
        <w:spacing w:after="80" w:before="0"/>
        <w:jc w:val="center"/>
      </w:pPr>
      <w:r>
        <w:rPr>
          <w:rFonts w:ascii="Times New Roman" w:cs="Times New Roman" w:eastAsia="Times New Roman" w:hAnsi="Times New Roman"/>
          <w:i/>
          <w:iCs/>
          <w:sz w:val="24"/>
          <w:szCs w:val="24"/>
        </w:rPr>
        <w:t xml:space="preserve">University of Manchester</w:t>
      </w:r>
    </w:p>
    <w:p>
      <w:pPr>
        <w:spacing w:after="400" w:before="0"/>
        <w:jc w:val="center"/>
      </w:pPr>
      <w:r>
        <w:rPr>
          <w:rFonts w:ascii="Times New Roman" w:cs="Times New Roman" w:eastAsia="Times New Roman" w:hAnsi="Times New Roman"/>
          <w:i/>
          <w:iCs/>
          <w:sz w:val="24"/>
          <w:szCs w:val="24"/>
        </w:rPr>
        <w:t xml:space="preserve">Master of Science, 2026</w:t>
      </w:r>
    </w:p>
    <w:p>
      <w:pPr>
        <w:pBdr>
          <w:bottom w:val="single" w:color="2E5E8E" w:sz="4"/>
        </w:pBdr>
        <w:spacing w:after="240" w:before="0"/>
        <w:jc w:val="center"/>
      </w:pPr>
      <w:r>
        <w:rPr>
          <w:rFonts w:ascii="Times New Roman" w:cs="Times New Roman" w:eastAsia="Times New Roman" w:hAnsi="Times New Roman"/>
          <w:b/>
          <w:bCs/>
          <w:color w:val="2E5E8E"/>
          <w:sz w:val="28"/>
          <w:szCs w:val="28"/>
        </w:rPr>
        <w:t xml:space="preserve">ABSTRACT</w:t>
      </w:r>
    </w:p>
    <w:p>
      <w:pPr>
        <w:spacing w:after="200" w:before="0"/>
        <w:jc w:val="right"/>
      </w:pPr>
      <w:r>
        <w:rPr>
          <w:rFonts w:ascii="Times New Roman" w:cs="Times New Roman" w:eastAsia="Times New Roman" w:hAnsi="Times New Roman"/>
          <w:i/>
          <w:iCs/>
          <w:color w:val="888888"/>
          <w:sz w:val="20"/>
          <w:szCs w:val="20"/>
        </w:rPr>
        <w:t xml:space="preserve">Word count: 298</w:t>
      </w:r>
    </w:p>
    <w:p>
      <w:pPr>
        <w:spacing w:after="200" w:before="0" w:line="360" w:lineRule="auto"/>
        <w:jc w:val="both"/>
      </w:pPr>
      <w:r>
        <w:rPr>
          <w:rFonts w:ascii="Times New Roman" w:cs="Times New Roman" w:eastAsia="Times New Roman" w:hAnsi="Times New Roman"/>
          <w:sz w:val="24"/>
          <w:szCs w:val="24"/>
        </w:rPr>
        <w:t xml:space="preserve">The cement industry accounts for approximately seven to eight per cent of global anthropogenic CO₂ emissions, making it one of the most challenging sectors to decarbonise. In the United Kingdom, the Peak Cluster–Morecambe Net Zero project represents the most advanced industrial CCS deployment, proposing a 200 km onshore CO₂ pipeline to transport captured emissions from four anchor cement and lime facilities in Derbyshire and Staffordshire to depleted offshore gas reservoirs in the Irish Sea. This thesis critically evaluates the policy drivers, economic viability, and public perception of this project through a convergent parallel mixed-methods design grounded in critical realism.</w:t>
      </w:r>
    </w:p>
    <w:p>
      <w:pPr>
        <w:spacing w:after="200" w:before="0" w:line="360" w:lineRule="auto"/>
        <w:jc w:val="both"/>
      </w:pPr>
      <w:r>
        <w:rPr>
          <w:rFonts w:ascii="Times New Roman" w:cs="Times New Roman" w:eastAsia="Times New Roman" w:hAnsi="Times New Roman"/>
          <w:sz w:val="24"/>
          <w:szCs w:val="24"/>
        </w:rPr>
        <w:t xml:space="preserve">The policy analysis of fifteen UK government and industry documents, operationalising Erickson et al.’s (2015) lock-in indicators and Bacchi’s (2025) problem representation framework, reveals a self-reinforcing institutional architecture with a mean path-dependency score of 4.4 out of 7. Sunset and pathway-diversification clauses are present in only 13 per cent of instruments, indicating that the policy framework does not merely favour CCS but forecloses the deliberative process that would be required to justify that preference analytically.</w:t>
      </w:r>
    </w:p>
    <w:p>
      <w:pPr>
        <w:spacing w:after="200" w:before="0" w:line="360" w:lineRule="auto"/>
        <w:jc w:val="both"/>
      </w:pPr>
      <w:r>
        <w:rPr>
          <w:rFonts w:ascii="Times New Roman" w:cs="Times New Roman" w:eastAsia="Times New Roman" w:hAnsi="Times New Roman"/>
          <w:sz w:val="24"/>
          <w:szCs w:val="24"/>
        </w:rPr>
        <w:t xml:space="preserve">A Monte Carlo techno-economic simulation of 10,000 iterations finds that the median levelised cost of CO₂ avoided for the preferred post-combustion MEA configuration is USD 131.4 per tonne, against a 2026 UK Emissions Trading Scheme civil-penalty reference price of USD 65.2 per tonne, implying an annual public subsidy requirement of approximately USD 199 million at the project’s three-megatonne design throughput. Comparative marginal abatement cost analysis demonstrates that clinker substitution through limestone calcined clay cement and supplementary cementitious materials can deliver meaningful abatement at substantially lower cost, with the opportunity cost of a CCS-only commitment estimated at USD 20 to USD 70 per tonne under current carbon price conditions.</w:t>
      </w:r>
    </w:p>
    <w:p>
      <w:pPr>
        <w:spacing w:after="200" w:before="0" w:line="360" w:lineRule="auto"/>
        <w:jc w:val="both"/>
      </w:pPr>
      <w:r>
        <w:rPr>
          <w:rFonts w:ascii="Times New Roman" w:cs="Times New Roman" w:eastAsia="Times New Roman" w:hAnsi="Times New Roman"/>
          <w:sz w:val="24"/>
          <w:szCs w:val="24"/>
        </w:rPr>
        <w:t xml:space="preserve">Discourse analysis of 191 publicly available social media and community records reveals that the project has not secured social license at any level above conditional withholding, with 49 per cent of non-proponent items coded at withholding and 51 per cent at conditional scrutiny. Three dominant interpretive frames structure public opposition: place identity and landscape protection (49 per cent), procedural and consultation governance (34 per cent), and safety and ecological risk (15 per cent). Ninety per cent of corpus items express an explicit trust deficit toward operators and regulators.</w:t>
      </w:r>
    </w:p>
    <w:p>
      <w:pPr>
        <w:spacing w:after="200" w:before="0" w:line="360" w:lineRule="auto"/>
        <w:jc w:val="both"/>
      </w:pPr>
      <w:r>
        <w:rPr>
          <w:rFonts w:ascii="Times New Roman" w:cs="Times New Roman" w:eastAsia="Times New Roman" w:hAnsi="Times New Roman"/>
          <w:sz w:val="24"/>
          <w:szCs w:val="24"/>
        </w:rPr>
        <w:t xml:space="preserve">The integrated joint display identifies a candidate generative mechanism: an entrenched policy regime that successfully financialises a hard-to-abate decarbonisation pathway simultaneously produces the social-legitimacy deficit that becomes consequential at the Development Consent Order consenting threshold. The thesis concludes with six targeted recommendations for project proponents, the UK Government, and the consenting authority, arguing that while industrial decarbonisation in the UK is path-dependent, it is not deterministic, and the conditional bloc of stakeholders represents a realistic window for procedural reform.</w:t>
      </w:r>
    </w:p>
    <w:p>
      <w:pPr>
        <w:pBdr>
          <w:top w:val="single" w:color="2E5E8E" w:sz="4"/>
        </w:pBdr>
        <w:spacing w:after="0" w:before="240"/>
      </w:pPr>
    </w:p>
    <w:p>
      <w:pPr>
        <w:spacing w:after="80" w:before="12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carbon capture and storage; carbon lock-in; path dependency; cement decarbonisation; social license to operate; techno-economic analysis; Peak Cluster; UK industrial policy; Monte Carlo simulation; discourse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2026-05-31T01:48:58.012Z</dcterms:created>
  <dcterms:modified xsi:type="dcterms:W3CDTF">2026-05-31T01:48:58.026Z</dcterms:modified>
</cp:coreProperties>
</file>

<file path=docProps/custom.xml><?xml version="1.0" encoding="utf-8"?>
<Properties xmlns="http://schemas.openxmlformats.org/officeDocument/2006/custom-properties" xmlns:vt="http://schemas.openxmlformats.org/officeDocument/2006/docPropsVTypes"/>
</file>