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0C4A6E"/>
          <w:sz w:val="28"/>
        </w:rPr>
        <w:t>ENERGY &amp; ENERGY MARKETS — PROFILE BRIEF</w:t>
      </w:r>
    </w:p>
    <w:p>
      <w:pPr>
        <w:spacing w:after="280"/>
        <w:jc w:val="center"/>
      </w:pPr>
      <w:r>
        <w:rPr>
          <w:rFonts w:ascii="Arial" w:hAnsi="Arial" w:eastAsia="Arial"/>
          <w:b w:val="0"/>
          <w:sz w:val="22"/>
        </w:rPr>
        <w:t>Alhassan Abdulai  ·  abdulaia549@gmail.com</w:t>
      </w:r>
    </w:p>
    <w:p>
      <w:pPr>
        <w:spacing w:after="80"/>
      </w:pPr>
      <w:r>
        <w:rPr>
          <w:rFonts w:ascii="Arial" w:hAnsi="Arial" w:eastAsia="Arial"/>
          <w:b/>
          <w:color w:val="0C4A6E"/>
          <w:sz w:val="24"/>
        </w:rPr>
        <w:t>Positioning</w:t>
      </w:r>
    </w:p>
    <w:p>
      <w:pPr>
        <w:spacing w:after="200"/>
      </w:pPr>
      <w:r>
        <w:rPr>
          <w:rFonts w:ascii="Arial" w:hAnsi="Arial" w:eastAsia="Arial"/>
          <w:b w:val="0"/>
          <w:sz w:val="22"/>
        </w:rPr>
        <w:t>Energy access, energy markets and transition professional who translates technical evidence into programme design, partner materials and market-infrastructure decisions. Recent delivery spans Sustainable Energy for All (SEforALL / ACMI), industrial CCS and UK ETS analysis (Peak Cluster), and Africa-facing energy-developer engagement.</w:t>
      </w:r>
    </w:p>
    <w:p>
      <w:pPr>
        <w:spacing w:after="80"/>
      </w:pPr>
      <w:r>
        <w:rPr>
          <w:rFonts w:ascii="Arial" w:hAnsi="Arial" w:eastAsia="Arial"/>
          <w:b/>
          <w:color w:val="0C4A6E"/>
          <w:sz w:val="24"/>
        </w:rPr>
        <w:t>SEforALL — High Integrity Project Development (Mar–Oct 2024)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Confirmed by SEforALL reference (Principal Carbon Markets Specialist): supported quantitative and qualitative analysis for the Carbon Hub; prepared reports and presentations; led research inputs on methodology development for sustainability initiatives including fossil-fuel displacement; assisted proposals, frameworks and stakeholder communication. Selected public-facing workstreams: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Diesel genset displacement / DRE replacement methodology research for Nigeria-focused clean energy pathways (ACMI–SEforALL workstream).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Mission 300–aligned analysis on how carbon-market and integrity infrastructure can support large-scale electrification pipelines.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Digital platform / Carbon Hub delivery supporting onboarding of 50+ Africa-based renewable energy project developers within a USD 45,000 budget envelope.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VVB readiness assessment inputs informing clean-energy market infrastructure strategy; fundraising proposal drafting for continent-wide capacity programmes.</w:t>
      </w:r>
    </w:p>
    <w:p>
      <w:pPr>
        <w:spacing w:after="80"/>
      </w:pPr>
      <w:r>
        <w:rPr>
          <w:rFonts w:ascii="Arial" w:hAnsi="Arial" w:eastAsia="Arial"/>
          <w:b/>
          <w:color w:val="0C4A6E"/>
          <w:sz w:val="24"/>
        </w:rPr>
        <w:t>Energy markets research — Peak Cluster CCS (MESPOM thesis, 2026)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Benchmarked industrial CCS abatement economics for a UK cement/industrial cluster against UK ETS pricing — policy incentives, viability and public perception.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Produced executive research brief, thesis abstract and reproducible analysis figures (pipeline corridor mapping and cost pathways).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Coursework foundation: Energy Markets · Energy Transition · Environmental Policy · Quantitative Methods (Erasmus Mundus, Distinction GPA 3.73).</w:t>
      </w:r>
    </w:p>
    <w:p>
      <w:pPr>
        <w:spacing w:after="80"/>
      </w:pPr>
      <w:r>
        <w:rPr>
          <w:rFonts w:ascii="Arial" w:hAnsi="Arial" w:eastAsia="Arial"/>
          <w:b/>
          <w:color w:val="0C4A6E"/>
          <w:sz w:val="24"/>
        </w:rPr>
        <w:t>Recognition (energy-relevant)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Schneider Electric Go Green Challenge — Global Winner (2025): technical lead on a distributed renewable energy project for rural farming.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Stanford Global Sustainability Challenge — Top 6 (2026).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Erasmus Mundus Scholarship (2024).</w:t>
      </w:r>
    </w:p>
    <w:p>
      <w:pPr>
        <w:spacing w:after="80"/>
      </w:pPr>
      <w:r>
        <w:rPr>
          <w:rFonts w:ascii="Arial" w:hAnsi="Arial" w:eastAsia="Arial"/>
          <w:b/>
          <w:color w:val="0C4A6E"/>
          <w:sz w:val="24"/>
        </w:rPr>
        <w:t>How to use this brief</w:t>
      </w:r>
    </w:p>
    <w:p>
      <w:pPr>
        <w:spacing w:after="160"/>
      </w:pPr>
      <w:r>
        <w:rPr>
          <w:rFonts w:ascii="Arial" w:hAnsi="Arial" w:eastAsia="Arial"/>
          <w:b w:val="0"/>
          <w:sz w:val="22"/>
        </w:rPr>
        <w:t>This document summarises energy consultancy-relevant delivery for recruiters. It does not reproduce confidential SEforALL contracts, MoUs or internal working files. Supporting public downloads: Peak Cluster research brief and thesis abstract on the Energy portfolio site; full CV available as PDF/Word.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