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2b9149458734322cd0e444e9bb4cf6e455788eb"/>
    <w:p>
      <w:pPr>
        <w:pStyle w:val="Heading1"/>
      </w:pPr>
      <w:r>
        <w:t xml:space="preserve">CRP v6 — Engineering Brief &amp; Developer Prompt</w:t>
      </w:r>
    </w:p>
    <w:p>
      <w:pPr>
        <w:pStyle w:val="FirstParagraph"/>
      </w:pPr>
      <w:r>
        <w:rPr>
          <w:bCs/>
          <w:b/>
        </w:rPr>
        <w:t xml:space="preserve">From:</w:t>
      </w:r>
      <w:r>
        <w:t xml:space="preserve"> </w:t>
      </w:r>
      <w:r>
        <w:t xml:space="preserve">Constantinos Vidiniotis, Founder, AutoCyber AI Pty Ltd</w:t>
      </w:r>
      <w:r>
        <w:t xml:space="preserve"> </w:t>
      </w:r>
      <w:r>
        <w:rPr>
          <w:bCs/>
          <w:b/>
        </w:rPr>
        <w:t xml:space="preserve">To:</w:t>
      </w:r>
      <w:r>
        <w:t xml:space="preserve"> </w:t>
      </w:r>
      <w:r>
        <w:t xml:space="preserve">Lead Engineer (human) — or paste into an agentic coding tool (e.g. Claude Code) run against the CRP monorepo</w:t>
      </w:r>
      <w:r>
        <w:t xml:space="preserve"> </w:t>
      </w:r>
      <w:r>
        <w:rPr>
          <w:bCs/>
          <w:b/>
        </w:rPr>
        <w:t xml:space="preserve">Re:</w:t>
      </w:r>
      <w:r>
        <w:t xml:space="preserve"> </w:t>
      </w:r>
      <w:r>
        <w:t xml:space="preserve">Audit, correct, and complete CRP v6 for the one-month open-protocol launch</w:t>
      </w:r>
      <w:r>
        <w:t xml:space="preserve"> </w:t>
      </w:r>
      <w:r>
        <w:rPr>
          <w:bCs/>
          <w:b/>
        </w:rPr>
        <w:t xml:space="preserve">Prime directive:</w:t>
      </w:r>
      <w:r>
        <w:t xml:space="preserve"> </w:t>
      </w:r>
      <w:r>
        <w:t xml:space="preserve">Make CRP a protocol that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developer — and I — can reuse to build full agentic/AI products by</w:t>
      </w:r>
      <w:r>
        <w:t xml:space="preserve"> </w:t>
      </w:r>
      <w:r>
        <w:rPr>
          <w:bCs/>
          <w:b/>
        </w:rPr>
        <w:t xml:space="preserve">declaring tools and policy, not re-implementing the loop.</w:t>
      </w:r>
      <w:r>
        <w:t xml:space="preserve"> </w:t>
      </w:r>
      <w:r>
        <w:t xml:space="preserve">Everything below serves that.</w:t>
      </w:r>
    </w:p>
    <w:p>
      <w:r>
        <w:pict>
          <v:rect style="width:0;height:1.5pt" o:hralign="center" o:hrstd="t" o:hr="t"/>
        </w:pict>
      </w:r>
    </w:p>
    <w:bookmarkStart w:id="20" w:name="how-to-use-this-brief"/>
    <w:p>
      <w:pPr>
        <w:pStyle w:val="Heading2"/>
      </w:pPr>
      <w:r>
        <w:t xml:space="preserve">0. How to use this brief</w:t>
      </w:r>
    </w:p>
    <w:p>
      <w:pPr>
        <w:pStyle w:val="FirstParagraph"/>
      </w:pPr>
      <w:r>
        <w:t xml:space="preserve">You are being handed the complete research and specification corpus for the Context Relay Protocol (CRP). Your job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 trust it — it was written partly from the live site and partly from inference, and it explicitly flags where it guessed. Your job is to</w:t>
      </w:r>
      <w:r>
        <w:t xml:space="preserve"> </w:t>
      </w:r>
      <w:r>
        <w:rPr>
          <w:bCs/>
          <w:b/>
        </w:rPr>
        <w:t xml:space="preserve">verify it against the real codebase, correct it to the real names and conventions, close the genuine gaps, and implement the launch cut.</w:t>
      </w:r>
    </w:p>
    <w:p>
      <w:pPr>
        <w:pStyle w:val="BodyText"/>
      </w:pPr>
      <w:r>
        <w:t xml:space="preserve">Work in the phases in §4. Produce the deliverables in §5. Hold the constraints in §3 as non-negotiable — especially the marketing position (§3.1) and the reusability north star (§3.2). When you find the corpus is wrong about the code,</w:t>
      </w:r>
      <w:r>
        <w:t xml:space="preserve"> </w:t>
      </w:r>
      <w:r>
        <w:rPr>
          <w:bCs/>
          <w:b/>
        </w:rPr>
        <w:t xml:space="preserve">the code wins and you correct the document</w:t>
      </w:r>
      <w:r>
        <w:t xml:space="preserve"> </w:t>
      </w:r>
      <w:r>
        <w:t xml:space="preserve">— and log it (§5.1).</w:t>
      </w:r>
    </w:p>
    <w:p>
      <w:pPr>
        <w:pStyle w:val="BodyText"/>
      </w:pPr>
      <w:r>
        <w:t xml:space="preserve">This brief can be executed by a senior engineer directly, or given to an agentic coding assistant with repo access; in the latter case, treat §4 as an ordered task list and open a PR per phase.</w:t>
      </w:r>
    </w:p>
    <w:p>
      <w:r>
        <w:pict>
          <v:rect style="width:0;height:1.5pt" o:hralign="center" o:hrstd="t" o:hr="t"/>
        </w:pict>
      </w:r>
    </w:p>
    <w:bookmarkEnd w:id="20"/>
    <w:bookmarkStart w:id="21" w:name="Xed381103671782bb0fbb9a0bbff8e0dc677d5d3"/>
    <w:p>
      <w:pPr>
        <w:pStyle w:val="Heading2"/>
      </w:pPr>
      <w:r>
        <w:t xml:space="preserve">1. Context: what CRP is (the agreed position — do not drift from this)</w:t>
      </w:r>
    </w:p>
    <w:p>
      <w:pPr>
        <w:pStyle w:val="FirstParagraph"/>
      </w:pPr>
      <w:r>
        <w:t xml:space="preserve">CRP is</w:t>
      </w:r>
      <w:r>
        <w:t xml:space="preserve"> </w:t>
      </w:r>
      <w:r>
        <w:rPr>
          <w:bCs/>
          <w:b/>
        </w:rPr>
        <w:t xml:space="preserve">the agentic positioning layer for SLM-first AI.</w:t>
      </w:r>
      <w:r>
        <w:t xml:space="preserve"> </w:t>
      </w:r>
      <w:r>
        <w:t xml:space="preserve">MCP exposes tools; A2A connects agents;</w:t>
      </w:r>
      <w:r>
        <w:t xml:space="preserve"> </w:t>
      </w:r>
      <w:r>
        <w:rPr>
          <w:bCs/>
          <w:b/>
        </w:rPr>
        <w:t xml:space="preserve">CRP positions every agent on the right task, with the right context and tools — so small local models can complete agentic tasks reliably, without context overload — and proves it operated safely.</w:t>
      </w:r>
      <w:r>
        <w:t xml:space="preserve"> </w:t>
      </w:r>
      <w:r>
        <w:t xml:space="preserve">Safety, grounding, and provenance are enforced</w:t>
      </w:r>
      <w:r>
        <w:t xml:space="preserve"> </w:t>
      </w:r>
      <w:r>
        <w:rPr>
          <w:iCs/>
          <w:i/>
        </w:rPr>
        <w:t xml:space="preserve">in the same loop</w:t>
      </w:r>
      <w:r>
        <w:t xml:space="preserve">, not bolted on. This is already the live positioning at crprotocol.io and it is correct; your work must reinforce it, never quietly reframe the product away from it.</w:t>
      </w:r>
    </w:p>
    <w:p>
      <w:pPr>
        <w:pStyle w:val="BodyText"/>
      </w:pPr>
      <w:r>
        <w:t xml:space="preserve">Products (one funnel, three buyers — keep them distinct):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CRP Scan</w:t>
      </w:r>
      <w:r>
        <w:t xml:space="preserve"> </w:t>
      </w:r>
      <w:r>
        <w:t xml:space="preserve">(free, VS Code extension): finds ungoverned AI calls, opens remediation PRs. Top of funnel — awareness. Do not monetise.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CRP Gateway</w:t>
      </w:r>
      <w:r>
        <w:t xml:space="preserve"> </w:t>
      </w:r>
      <w:r>
        <w:t xml:space="preserve">(runtime): routes every AI/agent call through governed positioning + context management + structured tool-calling + streaming governance. This is where the</w:t>
      </w:r>
      <w:r>
        <w:t xml:space="preserve"> </w:t>
      </w:r>
      <w:r>
        <w:rPr>
          <w:iCs/>
          <w:i/>
        </w:rPr>
        <w:t xml:space="preserve">positioning and agent-security</w:t>
      </w:r>
      <w:r>
        <w:t xml:space="preserve"> </w:t>
      </w:r>
      <w:r>
        <w:t xml:space="preserve">story is a product. Adoption.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CRP Comply</w:t>
      </w:r>
      <w:r>
        <w:t xml:space="preserve"> </w:t>
      </w:r>
      <w:r>
        <w:t xml:space="preserve">(monetisation capstone): turns Gateway’s runtime evidence into audit-ready deliverables for EU AI Act / ISO 42001 / NIST AI RMF / GDPR.</w:t>
      </w:r>
      <w:r>
        <w:t xml:space="preserve"> </w:t>
      </w:r>
      <w:r>
        <w:rPr>
          <w:bCs/>
          <w:b/>
        </w:rPr>
        <w:t xml:space="preserve">Keep Comply on the compliance budget line</w:t>
      </w:r>
      <w:r>
        <w:t xml:space="preserve"> </w:t>
      </w:r>
      <w:r>
        <w:t xml:space="preserve">— that is where the money is. Claim</w:t>
      </w:r>
      <w:r>
        <w:t xml:space="preserve"> </w:t>
      </w:r>
      <w:r>
        <w:t xml:space="preserve">“</w:t>
      </w:r>
      <w:r>
        <w:t xml:space="preserve">evidence, not certification</w:t>
      </w:r>
      <w:r>
        <w:t xml:space="preserve">”</w:t>
      </w:r>
      <w:r>
        <w:t xml:space="preserve"> </w:t>
      </w:r>
      <w:r>
        <w:t xml:space="preserve">precisely; over-claiming compliance has legal downside.</w:t>
      </w:r>
    </w:p>
    <w:p>
      <w:pPr>
        <w:pStyle w:val="BodyText"/>
      </w:pPr>
      <w:r>
        <w:t xml:space="preserve">The funnel that must work for launch:</w:t>
      </w:r>
      <w:r>
        <w:t xml:space="preserve"> </w:t>
      </w:r>
      <w:r>
        <w:rPr>
          <w:bCs/>
          <w:b/>
        </w:rPr>
        <w:t xml:space="preserve">Scan → Gateway → Comply.</w:t>
      </w:r>
    </w:p>
    <w:p>
      <w:r>
        <w:pict>
          <v:rect style="width:0;height:1.5pt" o:hralign="center" o:hrstd="t" o:hr="t"/>
        </w:pict>
      </w:r>
    </w:p>
    <w:bookmarkEnd w:id="21"/>
    <w:bookmarkStart w:id="23" w:name="X25db301446ebc22934b2847a5a7eec36b93c526"/>
    <w:p>
      <w:pPr>
        <w:pStyle w:val="Heading2"/>
      </w:pPr>
      <w:r>
        <w:t xml:space="preserve">2. The deliverables to ingest (read all of these first)</w:t>
      </w:r>
    </w:p>
    <w:p>
      <w:pPr>
        <w:pStyle w:val="FirstParagraph"/>
      </w:pPr>
      <w:r>
        <w:t xml:space="preserve">Five documents were produced (each has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_source.md</w:t>
      </w:r>
      <w:r>
        <w:t xml:space="preserve">; read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). Ingest in this order: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Architecture_of_Understanding_in_Agentic_AI</w:t>
      </w:r>
      <w:r>
        <w:rPr>
          <w:bCs/>
          <w:b/>
        </w:rPr>
        <w:t xml:space="preserve"> </w:t>
      </w:r>
      <w:r>
        <w:rPr>
          <w:bCs/>
          <w:b/>
        </w:rPr>
        <w:t xml:space="preserve">(source.md).</w:t>
      </w:r>
      <w:r>
        <w:t xml:space="preserve"> </w:t>
      </w:r>
      <w:r>
        <w:t xml:space="preserve">The eight/ten-component model of machine cognition; reasoning ladder; memory; world models; meta-cognition.</w:t>
      </w:r>
      <w:r>
        <w:t xml:space="preserve"> </w:t>
      </w:r>
      <w:r>
        <w:rPr>
          <w:bCs/>
          <w:b/>
        </w:rPr>
        <w:t xml:space="preserve">Part IV is the R1–R5 roadmap</w:t>
      </w:r>
      <w:r>
        <w:t xml:space="preserve"> </w:t>
      </w:r>
      <w:r>
        <w:t xml:space="preserve">and the honest open-problems list. This is the</w:t>
      </w:r>
      <w:r>
        <w:t xml:space="preserve"> </w:t>
      </w:r>
      <w:r>
        <w:t xml:space="preserve">“</w:t>
      </w:r>
      <w:r>
        <w:t xml:space="preserve">what the protocol must eventually do for reasoning/understanding</w:t>
      </w:r>
      <w:r>
        <w:t xml:space="preserve">”</w:t>
      </w:r>
      <w:r>
        <w:t xml:space="preserve"> </w:t>
      </w:r>
      <w:r>
        <w:t xml:space="preserve">reference.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Architecture_of_Tool_Use_in_Agentic_AI</w:t>
      </w:r>
      <w:r>
        <w:rPr>
          <w:bCs/>
          <w:b/>
        </w:rPr>
        <w:t xml:space="preserve"> </w:t>
      </w:r>
      <w:r>
        <w:rPr>
          <w:bCs/>
          <w:b/>
        </w:rPr>
        <w:t xml:space="preserve">(source.md).</w:t>
      </w:r>
      <w:r>
        <w:t xml:space="preserve"> </w:t>
      </w:r>
      <w:r>
        <w:t xml:space="preserve">The nine-stage tool loop; intent-compiler DSL; constrained decoding; the trusted policy gate; grounding/faithfulness.</w:t>
      </w:r>
      <w:r>
        <w:t xml:space="preserve"> </w:t>
      </w:r>
      <w:r>
        <w:rPr>
          <w:bCs/>
          <w:b/>
        </w:rPr>
        <w:t xml:space="preserve">Chapter 29 is the T1–T6 roadmap.</w:t>
      </w:r>
      <w:r>
        <w:t xml:space="preserve"> </w:t>
      </w:r>
      <w:r>
        <w:t xml:space="preserve">T1/T2/T4 (typed tool manifest, intent-compiler, tool-result envelope) are the gap you will close as SPEC-059.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Architecture_of_Transparency_in_Agentic_AI</w:t>
      </w:r>
      <w:r>
        <w:rPr>
          <w:bCs/>
          <w:b/>
        </w:rPr>
        <w:t xml:space="preserve"> </w:t>
      </w:r>
      <w:r>
        <w:rPr>
          <w:bCs/>
          <w:b/>
        </w:rPr>
        <w:t xml:space="preserve">(source.md).</w:t>
      </w:r>
      <w:r>
        <w:t xml:space="preserve"> </w:t>
      </w:r>
      <w:r>
        <w:t xml:space="preserve">What to display; SSE/WebSockets; the AG-UI event standard; faithful narration; engagement.</w:t>
      </w:r>
      <w:r>
        <w:t xml:space="preserve"> </w:t>
      </w:r>
      <w:r>
        <w:rPr>
          <w:bCs/>
          <w:b/>
        </w:rPr>
        <w:t xml:space="preserve">Chapter 26 is the D1–D6 roadmap.</w:t>
      </w:r>
      <w:r>
        <w:t xml:space="preserve"> </w:t>
      </w:r>
      <w:r>
        <w:t xml:space="preserve">D1–D3 are in the launch cut. Templates 1–12 are real streaming code to adapt.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CRP_v6_Implementation_Specification</w:t>
      </w:r>
      <w:r>
        <w:rPr>
          <w:bCs/>
          <w:b/>
        </w:rPr>
        <w:t xml:space="preserve"> </w:t>
      </w:r>
      <w:r>
        <w:rPr>
          <w:bCs/>
          <w:b/>
        </w:rPr>
        <w:t xml:space="preserve">(source.md).</w:t>
      </w:r>
      <w:r>
        <w:t xml:space="preserve"> </w:t>
      </w:r>
      <w:r>
        <w:t xml:space="preserve">The nine specs SPEC-049…057 (Verification Relay, Learned Router, Predictive Positioning, Intent/Speech-Act, Clarification, Structured Decoding, Epistemic Profiles, Transparency Emission, Bi-Temporal CKF), each with code, integration points, conformance, and security.</w:t>
      </w:r>
      <w:r>
        <w:t xml:space="preserve"> </w:t>
      </w:r>
      <w:r>
        <w:rPr>
          <w:bCs/>
          <w:b/>
        </w:rPr>
        <w:t xml:space="preserve">Appendix A traces one request through all nine; Appendix B is the wave-by-wave build checklist.</w:t>
      </w:r>
      <w:r>
        <w:t xml:space="preserve"> </w:t>
      </w:r>
      <w:r>
        <w:t xml:space="preserve">This is the forward roadmap; most of it is post-launch (see §3.3).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CRP_v6_Agent_SDK_and_Launch_Completion</w:t>
      </w:r>
      <w:r>
        <w:rPr>
          <w:bCs/>
          <w:b/>
        </w:rPr>
        <w:t xml:space="preserve"> </w:t>
      </w:r>
      <w:r>
        <w:rPr>
          <w:bCs/>
          <w:b/>
        </w:rPr>
        <w:t xml:space="preserve">(source.md).</w:t>
      </w:r>
      <w:r>
        <w:t xml:space="preserve"> </w:t>
      </w:r>
      <w:r>
        <w:t xml:space="preserve">The coverage verdict (research → spec map),</w:t>
      </w:r>
      <w:r>
        <w:t xml:space="preserve"> </w:t>
      </w:r>
      <w:r>
        <w:rPr>
          <w:bCs/>
          <w:b/>
        </w:rPr>
        <w:t xml:space="preserve">SPEC-059</w:t>
      </w:r>
      <w:r>
        <w:t xml:space="preserve"> </w:t>
      </w:r>
      <w:r>
        <w:t xml:space="preserve">(tool manifest + intent-compiler + result envelope — the real gap), the</w:t>
      </w:r>
      <w:r>
        <w:t xml:space="preserve"> </w:t>
      </w:r>
      <w:r>
        <w:rPr>
          <w:rStyle w:val="VerbatimChar"/>
          <w:bCs/>
          <w:b/>
        </w:rPr>
        <w:t xml:space="preserve">crp.Agent</w:t>
      </w:r>
      <w:r>
        <w:rPr>
          <w:bCs/>
          <w:b/>
        </w:rPr>
        <w:t xml:space="preserve"> </w:t>
      </w:r>
      <w:r>
        <w:rPr>
          <w:bCs/>
          <w:b/>
        </w:rPr>
        <w:t xml:space="preserve">SDK</w:t>
      </w:r>
      <w:r>
        <w:t xml:space="preserve"> </w:t>
      </w:r>
      <w:r>
        <w:t xml:space="preserve">with runnable code, the one-month launch cut, and product positioning.</w:t>
      </w:r>
      <w:r>
        <w:t xml:space="preserve"> </w:t>
      </w:r>
      <w:r>
        <w:rPr>
          <w:bCs/>
          <w:b/>
        </w:rPr>
        <w:t xml:space="preserve">This document is your primary work order; the other four are its evidence base.</w:t>
      </w:r>
    </w:p>
    <w:p>
      <w:pPr>
        <w:pStyle w:val="FirstParagraph"/>
      </w:pPr>
      <w:r>
        <w:t xml:space="preserve">Also ingest the live protocol reality: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crprotocol.io</w:t>
      </w:r>
      <w:r>
        <w:t xml:space="preserve"> </w:t>
      </w:r>
      <w:r>
        <w:t xml:space="preserve">— the spec catalogue (SPEC-001…048), the shipped SDK surface (</w:t>
      </w:r>
      <w:r>
        <w:rPr>
          <w:rStyle w:val="VerbatimChar"/>
        </w:rPr>
        <w:t xml:space="preserve">crp.SDKClient</w:t>
      </w:r>
      <w:r>
        <w:t xml:space="preserve">, progressive disclosure levels,</w:t>
      </w:r>
      <w:r>
        <w:t xml:space="preserve"> </w:t>
      </w:r>
      <w:r>
        <w:rPr>
          <w:rStyle w:val="VerbatimChar"/>
        </w:rPr>
        <w:t xml:space="preserve">@client.tool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ask/complete/ingest</w:t>
      </w:r>
      <w:r>
        <w:t xml:space="preserve">), and product pages.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comply.crprotocol.io</w:t>
      </w:r>
      <w:r>
        <w:t xml:space="preserve"> </w:t>
      </w:r>
      <w:r>
        <w:t xml:space="preserve">— Comply’s current messaging (verify positioning against §1).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CRP Scan</w:t>
      </w:r>
      <w:r>
        <w:t xml:space="preserve"> </w:t>
      </w:r>
      <w:r>
        <w:t xml:space="preserve">on the VS Code Marketplace — the funnel entry.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actual monorepo</w:t>
      </w:r>
      <w:r>
        <w:t xml:space="preserve"> </w:t>
      </w:r>
      <w:r>
        <w:t xml:space="preserve">— the source of truth that overrides every document.</w:t>
      </w:r>
    </w:p>
    <w:bookmarkStart w:id="22" w:name="Xdc6dc1b0969f15ec0ce2e9ba10a1c479b866a49"/>
    <w:p>
      <w:pPr>
        <w:pStyle w:val="Heading3"/>
      </w:pPr>
      <w:r>
        <w:t xml:space="preserve">2.1 The complete new-spec inventory — WRITE a document for EVERY one of these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Cs/>
          <w:b/>
        </w:rPr>
        <w:t xml:space="preserve">eleven</w:t>
      </w:r>
      <w:r>
        <w:t xml:space="preserve"> </w:t>
      </w:r>
      <w:r>
        <w:t xml:space="preserve">new specifications across the corpus (SPEC-049…059).</w:t>
      </w:r>
      <w:r>
        <w:t xml:space="preserve"> </w:t>
      </w:r>
      <w:r>
        <w:rPr>
          <w:bCs/>
          <w:b/>
        </w:rPr>
        <w:t xml:space="preserve">Write and publish a formal spec document for all eleven, in the real CRP house style, into the catalogue</w:t>
      </w:r>
      <w:r>
        <w:t xml:space="preserve"> </w:t>
      </w:r>
      <w:r>
        <w:t xml:space="preserve">— the open protocol must be</w:t>
      </w:r>
      <w:r>
        <w:t xml:space="preserve"> </w:t>
      </w:r>
      <w:r>
        <w:rPr>
          <w:iCs/>
          <w:i/>
        </w:rPr>
        <w:t xml:space="preserve">documentation-complete</w:t>
      </w:r>
      <w:r>
        <w:t xml:space="preserve"> </w:t>
      </w:r>
      <w:r>
        <w:t xml:space="preserve">at launch. Nothing here is omitted. What differs per spec is only whether it is</w:t>
      </w:r>
      <w:r>
        <w:t xml:space="preserve"> </w:t>
      </w:r>
      <w:r>
        <w:rPr>
          <w:bCs/>
          <w:b/>
        </w:rPr>
        <w:t xml:space="preserve">implemented in the launch month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published as documented roadmap</w:t>
      </w:r>
      <w:r>
        <w:t xml:space="preserve"> </w:t>
      </w:r>
      <w:r>
        <w:t xml:space="preserve">(see §3.3 and Phase 3): a roadmap spec still ships as a complete, numbered document, just not as running code yet.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doc?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in month?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SPEC-049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Relay (PRM + symbolic + LLM-Modulo)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Symbolic only; PRM judge →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Quality-Tier-Supervised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R2, 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Capability-profile fallback only; learned model →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Predictive Positioning &amp; World-Model Induction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(year-scale)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SPEC-052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 &amp; Speech-Act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if intent/coref already shipped in extraction; else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SPEC-053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Clarification Protocol (</w:t>
            </w:r>
            <w:r>
              <w:rPr>
                <w:rStyle w:val="VerbatimChar"/>
              </w:rPr>
              <w:t xml:space="preserve">CRP-Clarification-Required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(novel; low effort — pull forward if time allows)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SPEC-054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Decoding Enforcement (XGrammar)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SPEC-055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Epistemic Profiles &amp;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Semantic-entropy only; calibration curves →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SPEC-056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Emission Layer (AG-UI + governance events)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D1–D6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D1–D3 launch; D4–D6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SPEC-057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Bi-Temporal CKF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SPEC-058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Governed Delegation (multi-agent)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frontier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(as Draft/preview)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(Wave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SPEC-059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Capability Layer (manifest + compiler + envelope)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T1, T2, T4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launch (the reuse gap)</w:t>
            </w:r>
          </w:p>
        </w:tc>
      </w:tr>
    </w:tbl>
    <w:p>
      <w:pPr>
        <w:pStyle w:val="BodyText"/>
      </w:pPr>
      <w:r>
        <w:t xml:space="preserve">Rule:</w:t>
      </w:r>
      <w:r>
        <w:t xml:space="preserve"> </w:t>
      </w:r>
      <w:r>
        <w:rPr>
          <w:bCs/>
          <w:b/>
        </w:rPr>
        <w:t xml:space="preserve">every row gets a written spec document; only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Yes — launch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rows get built now.</w:t>
      </w:r>
      <w:r>
        <w:t xml:space="preserve"> </w:t>
      </w:r>
      <w:r>
        <w:t xml:space="preserve">A published open protocol with eleven coherent specs and a clearly-labelled implemented-vs-roadmap split is exactly the right launch posture — complete on paper, honest about code. Also update the master index/roadmap doc so the catalogue reads 001…059 cleanly.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hard-constraints-non-negotiable"/>
    <w:p>
      <w:pPr>
        <w:pStyle w:val="Heading2"/>
      </w:pPr>
      <w:r>
        <w:t xml:space="preserve">3. Hard constraints (non-negotiable)</w:t>
      </w:r>
    </w:p>
    <w:bookmarkStart w:id="24" w:name="preserve-the-marketing-position"/>
    <w:p>
      <w:pPr>
        <w:pStyle w:val="Heading3"/>
      </w:pPr>
      <w:r>
        <w:t xml:space="preserve">3.1 Preserve the marketing position</w:t>
      </w:r>
    </w:p>
    <w:p>
      <w:pPr>
        <w:pStyle w:val="FirstParagraph"/>
      </w:pPr>
      <w:r>
        <w:t xml:space="preserve">Every design decision must keep CRP framed as</w:t>
      </w:r>
      <w:r>
        <w:t xml:space="preserve"> </w:t>
      </w:r>
      <w:r>
        <w:rPr>
          <w:bCs/>
          <w:b/>
        </w:rPr>
        <w:t xml:space="preserve">agentic positioning for SLM-first AI, proven safe.</w:t>
      </w:r>
      <w:r>
        <w:t xml:space="preserve"> </w:t>
      </w:r>
      <w:r>
        <w:t xml:space="preserve">Do not let an engineering convenience reframe the product as</w:t>
      </w:r>
      <w:r>
        <w:t xml:space="preserve"> </w:t>
      </w:r>
      <w:r>
        <w:t xml:space="preserve">“</w:t>
      </w:r>
      <w:r>
        <w:t xml:space="preserve">another agent framework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MCP-plus-headers.</w:t>
      </w:r>
      <w:r>
        <w:t xml:space="preserve">”</w:t>
      </w:r>
      <w:r>
        <w:t xml:space="preserve"> </w:t>
      </w:r>
      <w:r>
        <w:t xml:space="preserve">Keep Comply on the</w:t>
      </w:r>
      <w:r>
        <w:t xml:space="preserve"> </w:t>
      </w:r>
      <w:r>
        <w:rPr>
          <w:bCs/>
          <w:b/>
        </w:rPr>
        <w:t xml:space="preserve">compliance budget line</w:t>
      </w:r>
      <w:r>
        <w:t xml:space="preserve">; keep security/positioning as the</w:t>
      </w:r>
      <w:r>
        <w:t xml:space="preserve"> </w:t>
      </w:r>
      <w:r>
        <w:rPr>
          <w:bCs/>
          <w:b/>
        </w:rPr>
        <w:t xml:space="preserve">Gateway/protocol</w:t>
      </w:r>
      <w:r>
        <w:t xml:space="preserve"> </w:t>
      </w:r>
      <w:r>
        <w:t xml:space="preserve">story. If a technical choice would force a positioning drift, flag it (§5.1) rather than silently taking it.</w:t>
      </w:r>
    </w:p>
    <w:bookmarkEnd w:id="24"/>
    <w:bookmarkStart w:id="25" w:name="reusability-is-the-north-star"/>
    <w:p>
      <w:pPr>
        <w:pStyle w:val="Heading3"/>
      </w:pPr>
      <w:r>
        <w:t xml:space="preserve">3.2 Reusability is the north star</w:t>
      </w:r>
    </w:p>
    <w:p>
      <w:pPr>
        <w:pStyle w:val="FirstParagraph"/>
      </w:pPr>
      <w:r>
        <w:t xml:space="preserve">The definition of success:</w:t>
      </w:r>
      <w:r>
        <w:t xml:space="preserve"> </w:t>
      </w:r>
      <w:r>
        <w:rPr>
          <w:bCs/>
          <w:b/>
        </w:rPr>
        <w:t xml:space="preserve">building a new agent = declaring its tools (typed manifest) + policy + model. The loop is the protocol’s.</w:t>
      </w:r>
      <w:r>
        <w:t xml:space="preserve"> </w:t>
      </w:r>
      <w:r>
        <w:t xml:space="preserve">When SPEC-049/050/051 later ship, every existing agent must inherit them for free, with no per-agent rewrite. If any design forces per-agent re-implementation of positioning, tool-calling, safety, or narration, it is wrong — fix it.</w:t>
      </w:r>
    </w:p>
    <w:bookmarkEnd w:id="25"/>
    <w:bookmarkStart w:id="26" w:name="X21efaa297b947800854f0011354cf1d5c7184a3"/>
    <w:p>
      <w:pPr>
        <w:pStyle w:val="Heading3"/>
      </w:pPr>
      <w:r>
        <w:t xml:space="preserve">3.3 Honesty rule (ship what’s real, name what’s not)</w:t>
      </w:r>
    </w:p>
    <w:p>
      <w:pPr>
        <w:pStyle w:val="FirstParagraph"/>
      </w:pPr>
      <w:r>
        <w:t xml:space="preserve">The corpus deliberately marks things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and defers data-dependent specs. Preserve this.</w:t>
      </w:r>
      <w:r>
        <w:t xml:space="preserve"> </w:t>
      </w:r>
      <w:r>
        <w:rPr>
          <w:bCs/>
          <w:b/>
        </w:rPr>
        <w:t xml:space="preserve">Do not implement, and do not let marketing claim,</w:t>
      </w:r>
      <w:r>
        <w:t xml:space="preserve"> </w:t>
      </w:r>
      <w:r>
        <w:t xml:space="preserve">capabilities that need a trained model or data volume we do not have at ~3 clients (learned router SPEC-050, PRM judge in SPEC-049, world-model induction SPEC-051, calibration SPEC-055). These are</w:t>
      </w:r>
      <w:r>
        <w:t xml:space="preserve"> </w:t>
      </w:r>
      <w:r>
        <w:rPr>
          <w:iCs/>
          <w:i/>
        </w:rPr>
        <w:t xml:space="preserve">published roadmap</w:t>
      </w:r>
      <w:r>
        <w:t xml:space="preserve">, not launch. Over-claiming in a governance product is a legal and reputational risk, not just a marketing one.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your-tasks-in-order"/>
    <w:p>
      <w:pPr>
        <w:pStyle w:val="Heading2"/>
      </w:pPr>
      <w:r>
        <w:t xml:space="preserve">4. Your tasks, in order</w:t>
      </w:r>
    </w:p>
    <w:bookmarkStart w:id="28" w:name="X11cc1a05b8cfb0de5b595820dced09a1a2788bd"/>
    <w:p>
      <w:pPr>
        <w:pStyle w:val="Heading3"/>
      </w:pPr>
      <w:r>
        <w:t xml:space="preserve">Phase 0 — Ingest &amp; build the traceability matrix</w:t>
      </w:r>
    </w:p>
    <w:p>
      <w:pPr>
        <w:pStyle w:val="FirstParagraph"/>
      </w:pPr>
      <w:r>
        <w:t xml:space="preserve">Read all five documents and the live catalogue. Produce a</w:t>
      </w:r>
      <w:r>
        <w:t xml:space="preserve"> </w:t>
      </w:r>
      <w:r>
        <w:rPr>
          <w:bCs/>
          <w:b/>
        </w:rPr>
        <w:t xml:space="preserve">traceability matrix</w:t>
      </w:r>
      <w:r>
        <w:t xml:space="preserve">: every research roadmap item (R1–R5, T1–T6, D1–D6) → the spec that covers it (existing SPEC-00x or v6 SPEC-04x/05x/059) → the actual code module in the repo that implements it (or</w:t>
      </w:r>
      <w:r>
        <w:t xml:space="preserve"> </w:t>
      </w:r>
      <w:r>
        <w:t xml:space="preserve">“</w:t>
      </w:r>
      <w:r>
        <w:t xml:space="preserve">MISSING</w:t>
      </w:r>
      <w:r>
        <w:t xml:space="preserve">”</w:t>
      </w:r>
      <w:r>
        <w:t xml:space="preserve">) → status (</w:t>
      </w:r>
      <w:r>
        <w:rPr>
          <w:rStyle w:val="VerbatimChar"/>
        </w:rPr>
        <w:t xml:space="preserve">shipped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specced-only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gap</w:t>
      </w:r>
      <w:r>
        <w:t xml:space="preserve">). This matrix is the map for everything after.</w:t>
      </w:r>
    </w:p>
    <w:bookmarkEnd w:id="28"/>
    <w:bookmarkStart w:id="29" w:name="X6c3d1f50553a980a29c03b13bb87ca786016995"/>
    <w:p>
      <w:pPr>
        <w:pStyle w:val="Heading3"/>
      </w:pPr>
      <w:r>
        <w:t xml:space="preserve">Phase 1 — Proof-check &amp; correct against the real code</w:t>
      </w:r>
    </w:p>
    <w:p>
      <w:pPr>
        <w:pStyle w:val="FirstParagraph"/>
      </w:pPr>
      <w:r>
        <w:t xml:space="preserve">The Agent SDK code in deliverable #5 uses</w:t>
      </w:r>
      <w:r>
        <w:t xml:space="preserve"> </w:t>
      </w:r>
      <w:r>
        <w:rPr>
          <w:bCs/>
          <w:b/>
        </w:rPr>
        <w:t xml:space="preserve">inferred</w:t>
      </w:r>
      <w:r>
        <w:t xml:space="preserve"> </w:t>
      </w:r>
      <w:r>
        <w:t xml:space="preserve">method names (</w:t>
      </w:r>
      <w:r>
        <w:rPr>
          <w:rStyle w:val="VerbatimChar"/>
        </w:rPr>
        <w:t xml:space="preserve">SDKClient.position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fill_intent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narrate_faithful</w:t>
      </w:r>
      <w:r>
        <w:t xml:space="preserve">,</w:t>
      </w:r>
      <w:r>
        <w:t xml:space="preserve"> </w:t>
      </w:r>
      <w:r>
        <w:rPr>
          <w:rStyle w:val="VerbatimChar"/>
        </w:rPr>
        <w:t xml:space="preserve">dpe</w:t>
      </w:r>
      <w:r>
        <w:t xml:space="preserve">,</w:t>
      </w:r>
      <w:r>
        <w:t xml:space="preserve"> </w:t>
      </w:r>
      <w:r>
        <w:rPr>
          <w:rStyle w:val="VerbatimChar"/>
        </w:rPr>
        <w:t xml:space="preserve">ckf.index_manifest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stream_sink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tokenizer_key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). These are shape-real, not name-real. Your job:</w:t>
      </w:r>
      <w:r>
        <w:t xml:space="preserve"> </w:t>
      </w:r>
      <w:r>
        <w:t xml:space="preserve">- Map each inferred call to the</w:t>
      </w:r>
      <w:r>
        <w:t xml:space="preserve"> </w:t>
      </w:r>
      <w:r>
        <w:rPr>
          <w:bCs/>
          <w:b/>
        </w:rPr>
        <w:t xml:space="preserve">actual</w:t>
      </w:r>
      <w:r>
        <w:t xml:space="preserve"> </w:t>
      </w:r>
      <w:r>
        <w:rPr>
          <w:rStyle w:val="VerbatimChar"/>
        </w:rPr>
        <w:t xml:space="preserve">crp.SDKClient</w:t>
      </w:r>
      <w:r>
        <w:t xml:space="preserve"> </w:t>
      </w:r>
      <w:r>
        <w:t xml:space="preserve">/ Gateway / CKF / DPE method and signature in the repo. Rewrite SPEC-059 and the</w:t>
      </w:r>
      <w:r>
        <w:t xml:space="preserve"> </w:t>
      </w:r>
      <w:r>
        <w:rPr>
          <w:rStyle w:val="VerbatimChar"/>
        </w:rPr>
        <w:t xml:space="preserve">crp.Agent</w:t>
      </w:r>
      <w:r>
        <w:t xml:space="preserve"> </w:t>
      </w:r>
      <w:r>
        <w:t xml:space="preserve">class to bind to the</w:t>
      </w:r>
      <w:r>
        <w:t xml:space="preserve"> </w:t>
      </w:r>
      <w:r>
        <w:rPr>
          <w:bCs/>
          <w:b/>
        </w:rPr>
        <w:t xml:space="preserve">real API and naming conventions</w:t>
      </w:r>
      <w:r>
        <w:t xml:space="preserve">.</w:t>
      </w:r>
      <w:r>
        <w:t xml:space="preserve"> </w:t>
      </w:r>
      <w:r>
        <w:t xml:space="preserve">- For every spec claim (SPEC-049…059) that asserts the protocol</w:t>
      </w:r>
      <w:r>
        <w:t xml:space="preserve"> </w:t>
      </w:r>
      <w:r>
        <w:t xml:space="preserve">“</w:t>
      </w:r>
      <w:r>
        <w:t xml:space="preserve">does X,</w:t>
      </w:r>
      <w:r>
        <w:t xml:space="preserve">”</w:t>
      </w:r>
      <w:r>
        <w:t xml:space="preserve"> </w:t>
      </w:r>
      <w:r>
        <w:t xml:space="preserve">verify the repo actually does X. Where it doesn’t, mark the spec</w:t>
      </w:r>
      <w:r>
        <w:t xml:space="preserve"> </w:t>
      </w:r>
      <w:r>
        <w:rPr>
          <w:rStyle w:val="VerbatimChar"/>
        </w:rPr>
        <w:t xml:space="preserve">specced-only</w:t>
      </w:r>
      <w:r>
        <w:t xml:space="preserve"> </w:t>
      </w:r>
      <w:r>
        <w:t xml:space="preserve">and note the delta.</w:t>
      </w:r>
      <w:r>
        <w:t xml:space="preserve"> </w:t>
      </w:r>
      <w:r>
        <w:t xml:space="preserve">- Confirm integration-point spec numbers are right (e.g. the corpus assumes DPE=005, SPDL=006, dispatch=008, CKF=009, audit=011, Gateway=016, ROS=021, SQB=026, Tier-E=029, CSO=030, STL=031, Safety Control Plane=033, Multi-Agent Safety=012). Correct any that are wrong against the live catalogue.</w:t>
      </w:r>
    </w:p>
    <w:bookmarkEnd w:id="29"/>
    <w:bookmarkStart w:id="30" w:name="Xc63e94b9467eeadb5e1d0df13976175427d6987"/>
    <w:p>
      <w:pPr>
        <w:pStyle w:val="Heading3"/>
      </w:pPr>
      <w:r>
        <w:t xml:space="preserve">Phase 2 — Close the real gap: SPEC-059 (tool manifest + compiler + envelope)</w:t>
      </w:r>
    </w:p>
    <w:p>
      <w:pPr>
        <w:pStyle w:val="FirstParagraph"/>
      </w:pPr>
      <w:r>
        <w:t xml:space="preserve">Implement the T1/T2/T4 layer against the real substrate: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Typed Tool Manifest (T1):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 </w:t>
      </w:r>
      <w:r>
        <w:t xml:space="preserve">base + per-tool metadata (</w:t>
      </w:r>
      <w:r>
        <w:rPr>
          <w:rStyle w:val="VerbatimChar"/>
        </w:rPr>
        <w:t xml:space="preserve">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safety_class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requires_privilege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when_to_use</w:t>
      </w:r>
      <w:r>
        <w:t xml:space="preserve">), indexed in the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CKF for selection-as-retrieval (T5).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Intent-Compiler (T2):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compile()</w:t>
      </w:r>
      <w:r>
        <w:t xml:space="preserve"> </w:t>
      </w:r>
      <w:r>
        <w:t xml:space="preserve">convention — model fills a safe typed intent; a deterministic, versioned compiler emits the real invocation + provenance. Wire dangerous-binary tools (e.g. the pentest scanner) through it.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Tool-Result Envelope (T4):</w:t>
      </w:r>
      <w:r>
        <w:t xml:space="preserve"> </w:t>
      </w:r>
      <w:r>
        <w:t xml:space="preserve">structured capture, raw-by-reference, confidence, hashed into the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HMAC audit chain (SPEC-011).</w:t>
      </w:r>
      <w:r>
        <w:t xml:space="preserve"> </w:t>
      </w:r>
      <w:r>
        <w:t xml:space="preserve">Bind all three to the actual dispatch/CKF/audit APIs from Phase 1.</w:t>
      </w:r>
    </w:p>
    <w:bookmarkEnd w:id="30"/>
    <w:bookmarkStart w:id="31" w:name="phase-3-validate-finalise-the-launch-cut"/>
    <w:p>
      <w:pPr>
        <w:pStyle w:val="Heading3"/>
      </w:pPr>
      <w:r>
        <w:t xml:space="preserve">Phase 3 — Validate &amp; finalise the launch cut</w:t>
      </w:r>
    </w:p>
    <w:p>
      <w:pPr>
        <w:pStyle w:val="FirstParagraph"/>
      </w:pPr>
      <w:r>
        <w:t xml:space="preserve">Confirm the §3.3 launch cut is buildable in the month</w:t>
      </w:r>
      <w:r>
        <w:t xml:space="preserve"> </w:t>
      </w:r>
      <w:r>
        <w:rPr>
          <w:bCs/>
          <w:b/>
        </w:rPr>
        <w:t xml:space="preserve">against the real code</w:t>
      </w:r>
      <w:r>
        <w:t xml:space="preserve">. Re-sequence if reality disagrees. The launch build 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SPEC-059 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crp.Agent</w:t>
      </w:r>
      <w:r>
        <w:rPr>
          <w:bCs/>
          <w:b/>
        </w:rPr>
        <w:t xml:space="preserve"> </w:t>
      </w:r>
      <w:r>
        <w:rPr>
          <w:bCs/>
          <w:b/>
        </w:rPr>
        <w:t xml:space="preserve">SDK</w:t>
      </w:r>
      <w:r>
        <w:t xml:space="preserve"> </w:t>
      </w:r>
      <w:r>
        <w:t xml:space="preserve">(the reuse surface) — bound to real API.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SPEC-054 Structured Decoding</w:t>
      </w:r>
      <w:r>
        <w:t xml:space="preserve"> </w:t>
      </w:r>
      <w:r>
        <w:t xml:space="preserve">— XGrammar in the Gateway generation path (verify XGrammar is compatible with the runtime we use — vLLM/SGLang/Ollama; if Ollama-only, identify the grammar path or a fallback).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SPEC-056 D1–D3 only</w:t>
      </w:r>
      <w:r>
        <w:t xml:space="preserve"> </w:t>
      </w:r>
      <w:r>
        <w:t xml:space="preserve">— AG-UI event emission, the</w:t>
      </w:r>
      <w:r>
        <w:t xml:space="preserve"> </w:t>
      </w:r>
      <w:r>
        <w:rPr>
          <w:rStyle w:val="VerbatimChar"/>
        </w:rPr>
        <w:t xml:space="preserve">crp.*</w:t>
      </w:r>
      <w:r>
        <w:t xml:space="preserve"> </w:t>
      </w:r>
      <w:r>
        <w:t xml:space="preserve">governance-event vocabulary, and faithful (entailment-checked) narration. Defer D4–D6.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One reference agent</w:t>
      </w:r>
      <w:r>
        <w:t xml:space="preserve"> </w:t>
      </w:r>
      <w:r>
        <w:t xml:space="preserve">end-to-end via the SDK +</w:t>
      </w:r>
      <w:r>
        <w:t xml:space="preserve"> </w:t>
      </w:r>
      <w:r>
        <w:rPr>
          <w:bCs/>
          <w:b/>
        </w:rPr>
        <w:t xml:space="preserve">quickstart docs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Scan → Gateway → Comply funnel</w:t>
      </w:r>
      <w:r>
        <w:t xml:space="preserve"> </w:t>
      </w:r>
      <w:r>
        <w:t xml:space="preserve">wired and tested; Comply generates an evidence pack from a real Agent-SDK run.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 eleven new spec documents (049–059) written and published</w:t>
      </w:r>
      <w:r>
        <w:t xml:space="preserve"> </w:t>
      </w:r>
      <w:r>
        <w:t xml:space="preserve">(§2.1) — the</w:t>
      </w:r>
      <w:r>
        <w:t xml:space="preserve"> </w:t>
      </w:r>
      <w:r>
        <w:rPr>
          <w:iCs/>
          <w:i/>
        </w:rPr>
        <w:t xml:space="preserve">documents</w:t>
      </w:r>
      <w:r>
        <w:t xml:space="preserve"> </w:t>
      </w:r>
      <w:r>
        <w:t xml:space="preserve">ship even where the</w:t>
      </w:r>
      <w:r>
        <w:t xml:space="preserve"> </w:t>
      </w:r>
      <w:r>
        <w:rPr>
          <w:iCs/>
          <w:i/>
        </w:rPr>
        <w:t xml:space="preserve">code</w:t>
      </w:r>
      <w:r>
        <w:t xml:space="preserve"> </w:t>
      </w:r>
      <w:r>
        <w:t xml:space="preserve">is roadmap.</w:t>
      </w:r>
    </w:p>
    <w:p>
      <w:pPr>
        <w:pStyle w:val="BodyText"/>
      </w:pPr>
      <w:r>
        <w:t xml:space="preserve">Implemented-in-code is only the</w:t>
      </w:r>
      <w:r>
        <w:t xml:space="preserve"> </w:t>
      </w:r>
      <w:r>
        <w:t xml:space="preserve">“</w:t>
      </w:r>
      <w:r>
        <w:t xml:space="preserve">Yes — launch</w:t>
      </w:r>
      <w:r>
        <w:t xml:space="preserve">”</w:t>
      </w:r>
      <w:r>
        <w:t xml:space="preserve"> </w:t>
      </w:r>
      <w:r>
        <w:t xml:space="preserve">rows. The remainder —</w:t>
      </w:r>
      <w:r>
        <w:t xml:space="preserve"> </w:t>
      </w:r>
      <w:r>
        <w:rPr>
          <w:bCs/>
          <w:b/>
        </w:rPr>
        <w:t xml:space="preserve">SPEC-049 PRM judge, SPEC-050 learned model, SPEC-051, SPEC-052 (if not already shipped), SPEC-053, SPEC-055 calibration curves, SPEC-057, SPEC-058</w:t>
      </w:r>
      <w:r>
        <w:t xml:space="preserve"> </w:t>
      </w:r>
      <w:r>
        <w:t xml:space="preserve">— are</w:t>
      </w:r>
      <w:r>
        <w:t xml:space="preserve"> </w:t>
      </w:r>
      <w:r>
        <w:rPr>
          <w:bCs/>
          <w:b/>
        </w:rPr>
        <w:t xml:space="preserve">published as documented roadmap</w:t>
      </w:r>
      <w:r>
        <w:t xml:space="preserve">, not built. (SPEC-053 clarification is low-effort and novel; pull it into the launch if the reference-agent work finishes early.)</w:t>
      </w:r>
    </w:p>
    <w:bookmarkEnd w:id="31"/>
    <w:bookmarkStart w:id="32" w:name="phase-4-implement"/>
    <w:p>
      <w:pPr>
        <w:pStyle w:val="Heading3"/>
      </w:pPr>
      <w:r>
        <w:t xml:space="preserve">Phase 4 — Implement</w:t>
      </w:r>
    </w:p>
    <w:p>
      <w:pPr>
        <w:pStyle w:val="FirstParagraph"/>
      </w:pPr>
      <w:r>
        <w:t xml:space="preserve">Build Phase 3’s list. One PR per component. Each PR must show the reusability invariant (§3.2) holds: the reference agent, and a</w:t>
      </w:r>
      <w:r>
        <w:t xml:space="preserve"> </w:t>
      </w:r>
      <w:r>
        <w:rPr>
          <w:iCs/>
          <w:i/>
        </w:rPr>
        <w:t xml:space="preserve">second</w:t>
      </w:r>
      <w:r>
        <w:t xml:space="preserve"> </w:t>
      </w:r>
      <w:r>
        <w:t xml:space="preserve">trivially-different agent, both run on the unmodified loop.</w:t>
      </w:r>
    </w:p>
    <w:bookmarkEnd w:id="32"/>
    <w:bookmarkStart w:id="33" w:name="X30bfa952e773287dc458af9ec78a6919ae8a41f"/>
    <w:p>
      <w:pPr>
        <w:pStyle w:val="Heading3"/>
      </w:pPr>
      <w:r>
        <w:t xml:space="preserve">Phase 5 — Further-investigate the research (feasibility pass)</w:t>
      </w:r>
    </w:p>
    <w:p>
      <w:pPr>
        <w:pStyle w:val="FirstParagraph"/>
      </w:pPr>
      <w:r>
        <w:t xml:space="preserve">For each deferred/roadmap spec, do a short feasibility spike and write a one-paragraph verdict: is the approach in the research still current (check the cited libraries — XGrammar, Z3, semantic entropy, WALL-E-style induction, RouteLLM, Graphiti — are current as of mid-2026), is it feasible on our stack, and what is the real trigger to build it (usually data volume). Flag anything the research over-optimistically assumed. This protects us from building on a stale or infeasible premise later.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what-to-deliver-back"/>
    <w:p>
      <w:pPr>
        <w:pStyle w:val="Heading2"/>
      </w:pPr>
      <w:r>
        <w:t xml:space="preserve">5. What to deliver back</w:t>
      </w:r>
    </w:p>
    <w:bookmarkStart w:id="35" w:name="a-correction-log"/>
    <w:p>
      <w:pPr>
        <w:pStyle w:val="Heading3"/>
      </w:pPr>
      <w:r>
        <w:t xml:space="preserve">5.1 A correction log</w:t>
      </w:r>
    </w:p>
    <w:p>
      <w:pPr>
        <w:pStyle w:val="FirstParagraph"/>
      </w:pPr>
      <w:r>
        <w:t xml:space="preserve">Every place the corpus was wrong about the code, the real name/convention, or an infeasible assumption — with the correction. This is how the specs become trustworthy.</w:t>
      </w:r>
    </w:p>
    <w:bookmarkEnd w:id="35"/>
    <w:bookmarkStart w:id="36" w:name="X3aaf005c9424d5e86c39e99f361309e7774790a"/>
    <w:p>
      <w:pPr>
        <w:pStyle w:val="Heading3"/>
      </w:pPr>
      <w:r>
        <w:t xml:space="preserve">5.2 The traceability matrix (Phase 0), completed.</w:t>
      </w:r>
    </w:p>
    <w:bookmarkEnd w:id="36"/>
    <w:bookmarkStart w:id="37" w:name="Xd25083eef0eb4ddbb8f3436da71ec18981ade17"/>
    <w:p>
      <w:pPr>
        <w:pStyle w:val="Heading3"/>
      </w:pPr>
      <w:r>
        <w:t xml:space="preserve">5.3 Corrected, real-API-bound SPEC-059 and</w:t>
      </w:r>
      <w:r>
        <w:t xml:space="preserve"> </w:t>
      </w:r>
      <w:r>
        <w:rPr>
          <w:rStyle w:val="VerbatimChar"/>
        </w:rPr>
        <w:t xml:space="preserve">crp.Agent</w:t>
      </w:r>
      <w:r>
        <w:t xml:space="preserve"> </w:t>
      </w:r>
      <w:r>
        <w:t xml:space="preserve">SDK</w:t>
      </w:r>
    </w:p>
    <w:p>
      <w:pPr>
        <w:pStyle w:val="FirstParagraph"/>
      </w:pPr>
      <w:r>
        <w:t xml:space="preserve">Copy-paste-real, not shape-real. Plus the reference agent and the second-agent reuse proof.</w:t>
      </w:r>
    </w:p>
    <w:bookmarkEnd w:id="37"/>
    <w:bookmarkStart w:id="38" w:name="a-gap-list-with-severity-effort"/>
    <w:p>
      <w:pPr>
        <w:pStyle w:val="Heading3"/>
      </w:pPr>
      <w:r>
        <w:t xml:space="preserve">5.4 A gap list with severity × effort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specced-only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item, sized, with a recommendation: launch / roadmap / drop.</w:t>
      </w:r>
    </w:p>
    <w:bookmarkEnd w:id="38"/>
    <w:bookmarkStart w:id="39" w:name="the-launch-pr-plan"/>
    <w:p>
      <w:pPr>
        <w:pStyle w:val="Heading3"/>
      </w:pPr>
      <w:r>
        <w:t xml:space="preserve">5.5 The launch PR plan</w:t>
      </w:r>
    </w:p>
    <w:p>
      <w:pPr>
        <w:pStyle w:val="FirstParagraph"/>
      </w:pPr>
      <w:r>
        <w:t xml:space="preserve">The ordered PRs for Phase 4, with the acceptance criteria (§6) per PR.</w:t>
      </w:r>
    </w:p>
    <w:bookmarkEnd w:id="39"/>
    <w:bookmarkStart w:id="40" w:name="the-feasibility-verdicts-phase-5."/>
    <w:p>
      <w:pPr>
        <w:pStyle w:val="Heading3"/>
      </w:pPr>
      <w:r>
        <w:t xml:space="preserve">5.6 The feasibility verdicts (Phase 5).</w:t>
      </w:r>
    </w:p>
    <w:bookmarkEnd w:id="40"/>
    <w:bookmarkStart w:id="41" w:name="X15560e9edc23fb2e06127f01bebd8c0a6eb6ae8"/>
    <w:p>
      <w:pPr>
        <w:pStyle w:val="Heading3"/>
      </w:pPr>
      <w:r>
        <w:t xml:space="preserve">5.7 All eleven new spec documents (049–059), published</w:t>
      </w:r>
    </w:p>
    <w:p>
      <w:pPr>
        <w:pStyle w:val="FirstParagraph"/>
      </w:pPr>
      <w:r>
        <w:t xml:space="preserve">Written in house style into the catalogue, each labelled</w:t>
      </w:r>
      <w:r>
        <w:t xml:space="preserve"> </w:t>
      </w:r>
      <w:r>
        <w:rPr>
          <w:rStyle w:val="VerbatimChar"/>
        </w:rPr>
        <w:t xml:space="preserve">implemented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roadmap</w:t>
      </w:r>
      <w:r>
        <w:t xml:space="preserve">, with the master index updated to 001…059.</w:t>
      </w:r>
      <w:r>
        <w:t xml:space="preserve"> </w:t>
      </w:r>
      <w:r>
        <w:rPr>
          <w:bCs/>
          <w:b/>
        </w:rPr>
        <w:t xml:space="preserve">Nothing from §2.1 is omitted from the documentation</w:t>
      </w:r>
      <w:r>
        <w:t xml:space="preserve">, regardless of what is coded this month.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876dad70d4ef0dff5a507adddd2c13ee14ba0f4"/>
    <w:p>
      <w:pPr>
        <w:pStyle w:val="Heading2"/>
      </w:pPr>
      <w:r>
        <w:t xml:space="preserve">6. Definition of done (launch acceptance criteria)</w:t>
      </w:r>
    </w:p>
    <w:p>
      <w:pPr>
        <w:numPr>
          <w:ilvl w:val="0"/>
          <w:numId w:val="1002"/>
        </w:numPr>
        <w:pStyle w:val="Compact"/>
      </w:pPr>
      <w:r>
        <w:t xml:space="preserve">☐ A developer can build a new governed agent by declaring tools + policy + model —</w:t>
      </w:r>
      <w:r>
        <w:t xml:space="preserve"> </w:t>
      </w:r>
      <w:r>
        <w:rPr>
          <w:bCs/>
          <w:b/>
        </w:rPr>
        <w:t xml:space="preserve">no loop code</w:t>
      </w:r>
      <w:r>
        <w:t xml:space="preserve"> </w:t>
      </w:r>
      <w:r>
        <w:t xml:space="preserve">— and it runs positioning, grammar-valid tool calls, safety-class gating/HITL, DPE on every step, faithful narration, and a signed audit.</w:t>
      </w:r>
      <w:r>
        <w:t xml:space="preserve"> </w:t>
      </w:r>
      <w:r>
        <w:rPr>
          <w:iCs/>
          <w:i/>
        </w:rPr>
        <w:t xml:space="preserve">(Reusability proven.)</w:t>
      </w:r>
    </w:p>
    <w:p>
      <w:pPr>
        <w:numPr>
          <w:ilvl w:val="0"/>
          <w:numId w:val="1002"/>
        </w:numPr>
        <w:pStyle w:val="Compact"/>
      </w:pPr>
      <w:r>
        <w:t xml:space="preserve">☐ A second, unrelated agent is built the same way in ~15 lines on the</w:t>
      </w:r>
      <w:r>
        <w:t xml:space="preserve"> </w:t>
      </w:r>
      <w:r>
        <w:rPr>
          <w:bCs/>
          <w:b/>
        </w:rPr>
        <w:t xml:space="preserve">unmodified</w:t>
      </w:r>
      <w:r>
        <w:t xml:space="preserve"> </w:t>
      </w:r>
      <w:r>
        <w:t xml:space="preserve">loop.</w:t>
      </w:r>
      <w:r>
        <w:t xml:space="preserve"> </w:t>
      </w:r>
      <w:r>
        <w:rPr>
          <w:iCs/>
          <w:i/>
        </w:rPr>
        <w:t xml:space="preserve">(Reuse invariant.)</w:t>
      </w:r>
    </w:p>
    <w:p>
      <w:pPr>
        <w:numPr>
          <w:ilvl w:val="0"/>
          <w:numId w:val="1002"/>
        </w:numPr>
        <w:pStyle w:val="Compact"/>
      </w:pPr>
      <w:r>
        <w:t xml:space="preserve">☐ Local-SLM tool calls are structurally valid by construction (structured decoding live).</w:t>
      </w:r>
      <w:r>
        <w:t xml:space="preserve"> </w:t>
      </w:r>
      <w:r>
        <w:rPr>
          <w:iCs/>
          <w:i/>
        </w:rPr>
        <w:t xml:space="preserve">(Reliability.)</w:t>
      </w:r>
    </w:p>
    <w:p>
      <w:pPr>
        <w:numPr>
          <w:ilvl w:val="0"/>
          <w:numId w:val="1002"/>
        </w:numPr>
        <w:pStyle w:val="Compact"/>
      </w:pPr>
      <w:r>
        <w:t xml:space="preserve">☐ A run streams AG-UI +</w:t>
      </w:r>
      <w:r>
        <w:t xml:space="preserve"> </w:t>
      </w:r>
      <w:r>
        <w:rPr>
          <w:rStyle w:val="VerbatimChar"/>
        </w:rPr>
        <w:t xml:space="preserve">crp.*</w:t>
      </w:r>
      <w:r>
        <w:t xml:space="preserve"> </w:t>
      </w:r>
      <w:r>
        <w:t xml:space="preserve">governance events; narration is entailment-checked against the trace.</w:t>
      </w:r>
      <w:r>
        <w:t xml:space="preserve"> </w:t>
      </w:r>
      <w:r>
        <w:rPr>
          <w:iCs/>
          <w:i/>
        </w:rPr>
        <w:t xml:space="preserve">(Legibility + faithfulness.)</w:t>
      </w:r>
    </w:p>
    <w:p>
      <w:pPr>
        <w:numPr>
          <w:ilvl w:val="0"/>
          <w:numId w:val="1002"/>
        </w:numPr>
        <w:pStyle w:val="Compact"/>
      </w:pPr>
      <w:r>
        <w:t xml:space="preserve">☐ Comply produces an audit-ready evidence pack from an Agent-SDK run; the Scan → Gateway → Comply path converts end-to-end.</w:t>
      </w:r>
      <w:r>
        <w:t xml:space="preserve"> </w:t>
      </w:r>
      <w:r>
        <w:rPr>
          <w:iCs/>
          <w:i/>
        </w:rPr>
        <w:t xml:space="preserve">(Monetisation path.)</w:t>
      </w:r>
    </w:p>
    <w:p>
      <w:pPr>
        <w:numPr>
          <w:ilvl w:val="0"/>
          <w:numId w:val="1002"/>
        </w:numPr>
        <w:pStyle w:val="Compact"/>
      </w:pPr>
      <w:r>
        <w:t xml:space="preserve">☐ The SPEC docs match the code (correction log applied); roadmap specs are clearly labelled roadmap.</w:t>
      </w:r>
      <w:r>
        <w:t xml:space="preserve"> </w:t>
      </w:r>
      <w:r>
        <w:rPr>
          <w:iCs/>
          <w:i/>
        </w:rPr>
        <w:t xml:space="preserve">(Honesty rule.)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All eleven new spec documents (049–059) are written and published</w:t>
      </w:r>
      <w:r>
        <w:t xml:space="preserve"> </w:t>
      </w:r>
      <w:r>
        <w:t xml:space="preserve">(§2.1), catalogue index reads 001…059, each marked</w:t>
      </w:r>
      <w:r>
        <w:t xml:space="preserve"> </w:t>
      </w:r>
      <w:r>
        <w:rPr>
          <w:rStyle w:val="VerbatimChar"/>
        </w:rPr>
        <w:t xml:space="preserve">implemented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roadmap</w:t>
      </w:r>
      <w:r>
        <w:t xml:space="preserve">.</w:t>
      </w:r>
      <w:r>
        <w:t xml:space="preserve"> </w:t>
      </w:r>
      <w:r>
        <w:rPr>
          <w:iCs/>
          <w:i/>
        </w:rPr>
        <w:t xml:space="preserve">(Documentation-complete — nothing omitted.)</w:t>
      </w:r>
    </w:p>
    <w:p>
      <w:pPr>
        <w:numPr>
          <w:ilvl w:val="0"/>
          <w:numId w:val="1002"/>
        </w:numPr>
        <w:pStyle w:val="Compact"/>
      </w:pPr>
      <w:r>
        <w:t xml:space="preserve">☐ The marketing position (§1, §3.1) is intact across protocol, Gateway, and Comply.</w:t>
      </w:r>
      <w:r>
        <w:t xml:space="preserve"> </w:t>
      </w:r>
      <w:r>
        <w:rPr>
          <w:iCs/>
          <w:i/>
        </w:rPr>
        <w:t xml:space="preserve">(No drift.)</w:t>
      </w:r>
    </w:p>
    <w:p>
      <w:r>
        <w:pict>
          <v:rect style="width:0;height:1.5pt" o:hralign="center" o:hrstd="t" o:hr="t"/>
        </w:pict>
      </w:r>
    </w:p>
    <w:bookmarkEnd w:id="43"/>
    <w:bookmarkStart w:id="44" w:name="one-line-summary-for-the-developer"/>
    <w:p>
      <w:pPr>
        <w:pStyle w:val="Heading2"/>
      </w:pPr>
      <w:r>
        <w:t xml:space="preserve">7. One-line summary for the developer</w:t>
      </w:r>
    </w:p>
    <w:p>
      <w:pPr>
        <w:pStyle w:val="FirstParagraph"/>
      </w:pPr>
      <w:r>
        <w:rPr>
          <w:bCs/>
          <w:b/>
        </w:rPr>
        <w:t xml:space="preserve">Verify the corpus against the repo; bind SPEC-059 and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crp.Agent</w:t>
      </w:r>
      <w:r>
        <w:rPr>
          <w:bCs/>
          <w:b/>
        </w:rPr>
        <w:t xml:space="preserve"> </w:t>
      </w:r>
      <w:r>
        <w:rPr>
          <w:bCs/>
          <w:b/>
        </w:rPr>
        <w:t xml:space="preserve">SDK to the real API; write all eleven new spec documents (049–059) so the protocol is documentation-complete; implement the launch subset (059 + Agent SDK + 054 + 056 D1–D3 + one reference agent) so anyone can build governed SLM agents by declaring tools and policy; publish the heavy specs as clearly-labelled roadmap; keep Comply on the compliance budget line and the position exactly as agreed. Reusability is the whole point.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Attachments: the five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_source.md</w:t>
      </w:r>
      <w:r>
        <w:rPr>
          <w:iCs/>
          <w:i/>
        </w:rPr>
        <w:t xml:space="preserve"> </w:t>
      </w:r>
      <w:r>
        <w:rPr>
          <w:iCs/>
          <w:i/>
        </w:rPr>
        <w:t xml:space="preserve">deliverables above. Source of truth: the CRP monorepo and crprotocol.io. When they conflict, the repo wins and the docs get corrected.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2026-07-08T04:26:57Z</dcterms:created>
  <dcterms:modified xsi:type="dcterms:W3CDTF">2026-07-08T04:26:57Z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