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b9149458734322cd0e444e9bb4cf6e455788eb"/>
    <w:p>
      <w:pPr>
        <w:pStyle w:val="Heading1"/>
      </w:pPr>
      <w:r>
        <w:t xml:space="preserve">CRP v6 — Engineering Brief &amp; Developer Prompt</w:t>
      </w:r>
    </w:p>
    <w:p>
      <w:pPr>
        <w:pStyle w:val="FirstParagraph"/>
      </w:pPr>
      <w:r>
        <w:rPr>
          <w:bCs/>
          <w:b/>
        </w:rPr>
        <w:t xml:space="preserve">From:</w:t>
      </w:r>
      <w:r>
        <w:t xml:space="preserve"> </w:t>
      </w:r>
      <w:r>
        <w:t xml:space="preserve">Constantinos Vidiniotis, Founder, AutoCyber AI Pty Ltd</w:t>
      </w:r>
      <w:r>
        <w:t xml:space="preserve"> </w:t>
      </w:r>
      <w:r>
        <w:rPr>
          <w:bCs/>
          <w:b/>
        </w:rPr>
        <w:t xml:space="preserve">To:</w:t>
      </w:r>
      <w:r>
        <w:t xml:space="preserve"> </w:t>
      </w:r>
      <w:r>
        <w:t xml:space="preserve">Lead Engineer (human) — or paste into an agentic coding tool (e.g. Claude Code) run against the CRP monorepo</w:t>
      </w:r>
      <w:r>
        <w:t xml:space="preserve"> </w:t>
      </w:r>
      <w:r>
        <w:rPr>
          <w:bCs/>
          <w:b/>
        </w:rPr>
        <w:t xml:space="preserve">Re:</w:t>
      </w:r>
      <w:r>
        <w:t xml:space="preserve"> </w:t>
      </w:r>
      <w:r>
        <w:t xml:space="preserve">Audit, correct, and complete CRP v6 for the one-month open-protocol launch</w:t>
      </w:r>
      <w:r>
        <w:t xml:space="preserve"> </w:t>
      </w:r>
      <w:r>
        <w:rPr>
          <w:bCs/>
          <w:b/>
        </w:rPr>
        <w:t xml:space="preserve">Prime directive:</w:t>
      </w:r>
      <w:r>
        <w:t xml:space="preserve"> </w:t>
      </w:r>
      <w:r>
        <w:t xml:space="preserve">Make CRP a protocol that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developer — and I — can reuse to build full agentic/AI products by</w:t>
      </w:r>
      <w:r>
        <w:t xml:space="preserve"> </w:t>
      </w:r>
      <w:r>
        <w:rPr>
          <w:bCs/>
          <w:b/>
        </w:rPr>
        <w:t xml:space="preserve">declaring tools and policy, not re-implementing the loop.</w:t>
      </w:r>
      <w:r>
        <w:t xml:space="preserve"> </w:t>
      </w:r>
      <w:r>
        <w:t xml:space="preserve">Everything below serves that.</w:t>
      </w:r>
    </w:p>
    <w:p>
      <w:r>
        <w:pict>
          <v:rect style="width:0;height:1.5pt" o:hralign="center" o:hrstd="t" o:hr="t"/>
        </w:pict>
      </w:r>
    </w:p>
    <w:bookmarkStart w:id="20" w:name="how-to-use-this-brief"/>
    <w:p>
      <w:pPr>
        <w:pStyle w:val="Heading2"/>
      </w:pPr>
      <w:r>
        <w:t xml:space="preserve">0. How to use this brief</w:t>
      </w:r>
    </w:p>
    <w:p>
      <w:pPr>
        <w:pStyle w:val="FirstParagraph"/>
      </w:pPr>
      <w:r>
        <w:t xml:space="preserve">You are being handed the complete research and specification corpus for the Context Relay Protocol (CRP). Your job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 trust it — it was written partly from the live site and partly from inference, and it explicitly flags where it guessed. Your job is to</w:t>
      </w:r>
      <w:r>
        <w:t xml:space="preserve"> </w:t>
      </w:r>
      <w:r>
        <w:rPr>
          <w:bCs/>
          <w:b/>
        </w:rPr>
        <w:t xml:space="preserve">verify it against the real codebase, correct it to the real names and conventions, close the genuine gaps, and implement the launch cut.</w:t>
      </w:r>
    </w:p>
    <w:p>
      <w:pPr>
        <w:pStyle w:val="BodyText"/>
      </w:pPr>
      <w:r>
        <w:t xml:space="preserve">Work in the phases in §4. Produce the deliverables in §5. Hold the constraints in §3 as non-negotiable — especially the marketing position (§3.1) and the reusability north star (§3.2). When you find the corpus is wrong about the code,</w:t>
      </w:r>
      <w:r>
        <w:t xml:space="preserve"> </w:t>
      </w:r>
      <w:r>
        <w:rPr>
          <w:bCs/>
          <w:b/>
        </w:rPr>
        <w:t xml:space="preserve">the code wins and you correct the document</w:t>
      </w:r>
      <w:r>
        <w:t xml:space="preserve"> </w:t>
      </w:r>
      <w:r>
        <w:t xml:space="preserve">— and log it (§5.1).</w:t>
      </w:r>
    </w:p>
    <w:p>
      <w:pPr>
        <w:pStyle w:val="BodyText"/>
      </w:pPr>
      <w:r>
        <w:t xml:space="preserve">This brief can be executed by a senior engineer directly, or given to an agentic coding assistant with repo access; in the latter case, treat §4 as an ordered task list and open a PR per phase.</w:t>
      </w:r>
    </w:p>
    <w:p>
      <w:r>
        <w:pict>
          <v:rect style="width:0;height:1.5pt" o:hralign="center" o:hrstd="t" o:hr="t"/>
        </w:pict>
      </w:r>
    </w:p>
    <w:bookmarkEnd w:id="20"/>
    <w:bookmarkStart w:id="21" w:name="Xed381103671782bb0fbb9a0bbff8e0dc677d5d3"/>
    <w:p>
      <w:pPr>
        <w:pStyle w:val="Heading2"/>
      </w:pPr>
      <w:r>
        <w:t xml:space="preserve">1. Context: what CRP is (the agreed position — do not drift from this)</w:t>
      </w:r>
    </w:p>
    <w:p>
      <w:pPr>
        <w:pStyle w:val="FirstParagraph"/>
      </w:pPr>
      <w:r>
        <w:t xml:space="preserve">CRP is</w:t>
      </w:r>
      <w:r>
        <w:t xml:space="preserve"> </w:t>
      </w:r>
      <w:r>
        <w:rPr>
          <w:bCs/>
          <w:b/>
        </w:rPr>
        <w:t xml:space="preserve">the agentic positioning layer for SLM-first AI.</w:t>
      </w:r>
      <w:r>
        <w:t xml:space="preserve"> </w:t>
      </w:r>
      <w:r>
        <w:t xml:space="preserve">MCP exposes tools; A2A connects agents;</w:t>
      </w:r>
      <w:r>
        <w:t xml:space="preserve"> </w:t>
      </w:r>
      <w:r>
        <w:rPr>
          <w:bCs/>
          <w:b/>
        </w:rPr>
        <w:t xml:space="preserve">CRP positions every agent on the right task, with the right context and tools — so small local models can complete agentic tasks reliably, without context overload — and proves it operated safely.</w:t>
      </w:r>
      <w:r>
        <w:t xml:space="preserve"> </w:t>
      </w:r>
      <w:r>
        <w:t xml:space="preserve">Safety, grounding, and provenance are enforced</w:t>
      </w:r>
      <w:r>
        <w:t xml:space="preserve"> </w:t>
      </w:r>
      <w:r>
        <w:rPr>
          <w:iCs/>
          <w:i/>
        </w:rPr>
        <w:t xml:space="preserve">in the same loop</w:t>
      </w:r>
      <w:r>
        <w:t xml:space="preserve">, not bolted on. This is already the live positioning at crprotocol.io and it is correct; your work must reinforce it, never quietly reframe the product away from it.</w:t>
      </w:r>
    </w:p>
    <w:p>
      <w:pPr>
        <w:pStyle w:val="BodyText"/>
      </w:pPr>
      <w:r>
        <w:t xml:space="preserve">Products (one funnel, three buyers — keep them distinct):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Scan</w:t>
      </w:r>
      <w:r>
        <w:t xml:space="preserve"> </w:t>
      </w:r>
      <w:r>
        <w:t xml:space="preserve">(free, VS Code extension): finds ungoverned AI calls, opens remediation PRs. Top of funnel — awareness. Do not monetise.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Gateway</w:t>
      </w:r>
      <w:r>
        <w:t xml:space="preserve"> </w:t>
      </w:r>
      <w:r>
        <w:t xml:space="preserve">(runtime): routes every AI/agent call through governed positioning + context management + structured tool-calling + streaming governance. This is where the</w:t>
      </w:r>
      <w:r>
        <w:t xml:space="preserve"> </w:t>
      </w:r>
      <w:r>
        <w:rPr>
          <w:iCs/>
          <w:i/>
        </w:rPr>
        <w:t xml:space="preserve">positioning and agent-security</w:t>
      </w:r>
      <w:r>
        <w:t xml:space="preserve"> </w:t>
      </w:r>
      <w:r>
        <w:t xml:space="preserve">story is a product. Adoption.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Comply</w:t>
      </w:r>
      <w:r>
        <w:t xml:space="preserve"> </w:t>
      </w:r>
      <w:r>
        <w:t xml:space="preserve">(monetisation capstone): turns Gateway’s runtime evidence into audit-ready deliverables for EU AI Act / ISO 42001 / NIST AI RMF / GDPR.</w:t>
      </w:r>
      <w:r>
        <w:t xml:space="preserve"> </w:t>
      </w:r>
      <w:r>
        <w:rPr>
          <w:bCs/>
          <w:b/>
        </w:rPr>
        <w:t xml:space="preserve">Keep Comply on the compliance budget line</w:t>
      </w:r>
      <w:r>
        <w:t xml:space="preserve"> </w:t>
      </w:r>
      <w:r>
        <w:t xml:space="preserve">— that is where the money is. Claim</w:t>
      </w:r>
      <w:r>
        <w:t xml:space="preserve"> </w:t>
      </w:r>
      <w:r>
        <w:t xml:space="preserve">“</w:t>
      </w:r>
      <w:r>
        <w:t xml:space="preserve">evidence, not certification</w:t>
      </w:r>
      <w:r>
        <w:t xml:space="preserve">”</w:t>
      </w:r>
      <w:r>
        <w:t xml:space="preserve"> </w:t>
      </w:r>
      <w:r>
        <w:t xml:space="preserve">precisely; over-claiming compliance has legal downside.</w:t>
      </w:r>
    </w:p>
    <w:p>
      <w:pPr>
        <w:pStyle w:val="BodyText"/>
      </w:pPr>
      <w:r>
        <w:t xml:space="preserve">The funnel that must work for launch:</w:t>
      </w:r>
      <w:r>
        <w:t xml:space="preserve"> </w:t>
      </w:r>
      <w:r>
        <w:rPr>
          <w:bCs/>
          <w:b/>
        </w:rPr>
        <w:t xml:space="preserve">Scan → Gateway → Comply.</w:t>
      </w:r>
    </w:p>
    <w:p>
      <w:r>
        <w:pict>
          <v:rect style="width:0;height:1.5pt" o:hralign="center" o:hrstd="t" o:hr="t"/>
        </w:pict>
      </w:r>
    </w:p>
    <w:bookmarkEnd w:id="21"/>
    <w:bookmarkStart w:id="22" w:name="X25db301446ebc22934b2847a5a7eec36b93c526"/>
    <w:p>
      <w:pPr>
        <w:pStyle w:val="Heading2"/>
      </w:pPr>
      <w:r>
        <w:t xml:space="preserve">2. The deliverables to ingest (read all of these first)</w:t>
      </w:r>
    </w:p>
    <w:p>
      <w:pPr>
        <w:pStyle w:val="FirstParagraph"/>
      </w:pPr>
      <w:r>
        <w:t xml:space="preserve">Five documents were produced (each has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_source.md</w:t>
      </w:r>
      <w:r>
        <w:t xml:space="preserve">; read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 Ingest in this order: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Architecture_of_Understanding_in_Agentic_AI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eight/ten-component model of machine cognition; reasoning ladder; memory; world models; meta-cognition.</w:t>
      </w:r>
      <w:r>
        <w:t xml:space="preserve"> </w:t>
      </w:r>
      <w:r>
        <w:rPr>
          <w:bCs/>
          <w:b/>
        </w:rPr>
        <w:t xml:space="preserve">Part IV is the R1–R5 roadmap</w:t>
      </w:r>
      <w:r>
        <w:t xml:space="preserve"> </w:t>
      </w:r>
      <w:r>
        <w:t xml:space="preserve">and the honest open-problems list. This is the</w:t>
      </w:r>
      <w:r>
        <w:t xml:space="preserve"> </w:t>
      </w:r>
      <w:r>
        <w:t xml:space="preserve">“</w:t>
      </w:r>
      <w:r>
        <w:t xml:space="preserve">what the protocol must eventually do for reasoning/understanding</w:t>
      </w:r>
      <w:r>
        <w:t xml:space="preserve">”</w:t>
      </w:r>
      <w:r>
        <w:t xml:space="preserve"> </w:t>
      </w:r>
      <w:r>
        <w:t xml:space="preserve">reference.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Architecture_of_Tool_Use_in_Agentic_AI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nine-stage tool loop; intent-compiler DSL; constrained decoding; the trusted policy gate; grounding/faithfulness.</w:t>
      </w:r>
      <w:r>
        <w:t xml:space="preserve"> </w:t>
      </w:r>
      <w:r>
        <w:rPr>
          <w:bCs/>
          <w:b/>
        </w:rPr>
        <w:t xml:space="preserve">Chapter 29 is the T1–T6 roadmap.</w:t>
      </w:r>
      <w:r>
        <w:t xml:space="preserve"> </w:t>
      </w:r>
      <w:r>
        <w:t xml:space="preserve">T1/T2/T4 (typed tool manifest, intent-compiler, tool-result envelope) are the gap you will close as SPEC-059.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Architecture_of_Transparency_in_Agentic_AI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What to display; SSE/WebSockets; the AG-UI event standard; faithful narration; engagement.</w:t>
      </w:r>
      <w:r>
        <w:t xml:space="preserve"> </w:t>
      </w:r>
      <w:r>
        <w:rPr>
          <w:bCs/>
          <w:b/>
        </w:rPr>
        <w:t xml:space="preserve">Chapter 26 is the D1–D6 roadmap.</w:t>
      </w:r>
      <w:r>
        <w:t xml:space="preserve"> </w:t>
      </w:r>
      <w:r>
        <w:t xml:space="preserve">D1–D3 are in the launch cut. Templates 1–12 are real streaming code to adapt.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CRP_v6_Implementation_Specification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nine specs SPEC-049…057 (Verification Relay, Learned Router, Predictive Positioning, Intent/Speech-Act, Clarification, Structured Decoding, Epistemic Profiles, Transparency Emission, Bi-Temporal CKF), each with code, integration points, conformance, and security.</w:t>
      </w:r>
      <w:r>
        <w:t xml:space="preserve"> </w:t>
      </w:r>
      <w:r>
        <w:rPr>
          <w:bCs/>
          <w:b/>
        </w:rPr>
        <w:t xml:space="preserve">Appendix A traces one request through all nine; Appendix B is the wave-by-wave build checklist.</w:t>
      </w:r>
      <w:r>
        <w:t xml:space="preserve"> </w:t>
      </w:r>
      <w:r>
        <w:t xml:space="preserve">This is the forward roadmap; most of it is post-launch (see §3.3).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CRP_v6_Agent_SDK_and_Launch_Completion</w:t>
      </w:r>
      <w:r>
        <w:rPr>
          <w:bCs/>
          <w:b/>
        </w:rPr>
        <w:t xml:space="preserve"> </w:t>
      </w:r>
      <w:r>
        <w:rPr>
          <w:bCs/>
          <w:b/>
        </w:rPr>
        <w:t xml:space="preserve">(source.md).</w:t>
      </w:r>
      <w:r>
        <w:t xml:space="preserve"> </w:t>
      </w:r>
      <w:r>
        <w:t xml:space="preserve">The coverage verdict (research → spec map),</w:t>
      </w:r>
      <w:r>
        <w:t xml:space="preserve"> </w:t>
      </w:r>
      <w:r>
        <w:rPr>
          <w:bCs/>
          <w:b/>
        </w:rPr>
        <w:t xml:space="preserve">SPEC-059</w:t>
      </w:r>
      <w:r>
        <w:t xml:space="preserve"> </w:t>
      </w:r>
      <w:r>
        <w:t xml:space="preserve">(tool manifest + intent-compiler + result envelope — the real gap), the</w:t>
      </w:r>
      <w: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</w:t>
      </w:r>
      <w:r>
        <w:t xml:space="preserve"> </w:t>
      </w:r>
      <w:r>
        <w:t xml:space="preserve">with runnable code, the one-month launch cut, and product positioning.</w:t>
      </w:r>
      <w:r>
        <w:t xml:space="preserve"> </w:t>
      </w:r>
      <w:r>
        <w:rPr>
          <w:bCs/>
          <w:b/>
        </w:rPr>
        <w:t xml:space="preserve">This document is your primary work order; the other four are its evidence base.</w:t>
      </w:r>
    </w:p>
    <w:p>
      <w:pPr>
        <w:pStyle w:val="FirstParagraph"/>
      </w:pPr>
      <w:r>
        <w:t xml:space="preserve">Also ingest the live protocol reality: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crprotocol.io</w:t>
      </w:r>
      <w:r>
        <w:t xml:space="preserve"> </w:t>
      </w:r>
      <w:r>
        <w:t xml:space="preserve">— the spec catalogue (SPEC-001…048), the shipped SDK surface (</w:t>
      </w:r>
      <w:r>
        <w:rPr>
          <w:rStyle w:val="VerbatimChar"/>
        </w:rPr>
        <w:t xml:space="preserve">crp.SDKClient</w:t>
      </w:r>
      <w:r>
        <w:t xml:space="preserve">, progressive disclosure levels,</w:t>
      </w:r>
      <w:r>
        <w:t xml:space="preserve"> </w:t>
      </w:r>
      <w:r>
        <w:rPr>
          <w:rStyle w:val="VerbatimChar"/>
        </w:rPr>
        <w:t xml:space="preserve">@client.tool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ask/complete/ingest</w:t>
      </w:r>
      <w:r>
        <w:t xml:space="preserve">), and product pages.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comply.crprotocol.io</w:t>
      </w:r>
      <w:r>
        <w:t xml:space="preserve"> </w:t>
      </w:r>
      <w:r>
        <w:t xml:space="preserve">— Comply’s current messaging (verify positioning against §1).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CRP Scan</w:t>
      </w:r>
      <w:r>
        <w:t xml:space="preserve"> </w:t>
      </w:r>
      <w:r>
        <w:t xml:space="preserve">on the VS Code Marketplace — the funnel entry.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actual monorepo</w:t>
      </w:r>
      <w:r>
        <w:t xml:space="preserve"> </w:t>
      </w:r>
      <w:r>
        <w:t xml:space="preserve">— the source of truth that overrides every document.</w:t>
      </w:r>
    </w:p>
    <w:p>
      <w:r>
        <w:pict>
          <v:rect style="width:0;height:1.5pt" o:hralign="center" o:hrstd="t" o:hr="t"/>
        </w:pict>
      </w:r>
    </w:p>
    <w:bookmarkEnd w:id="22"/>
    <w:bookmarkStart w:id="26" w:name="hard-constraints-non-negotiable"/>
    <w:p>
      <w:pPr>
        <w:pStyle w:val="Heading2"/>
      </w:pPr>
      <w:r>
        <w:t xml:space="preserve">3. Hard constraints (non-negotiable)</w:t>
      </w:r>
    </w:p>
    <w:bookmarkStart w:id="23" w:name="preserve-the-marketing-position"/>
    <w:p>
      <w:pPr>
        <w:pStyle w:val="Heading3"/>
      </w:pPr>
      <w:r>
        <w:t xml:space="preserve">3.1 Preserve the marketing position</w:t>
      </w:r>
    </w:p>
    <w:p>
      <w:pPr>
        <w:pStyle w:val="FirstParagraph"/>
      </w:pPr>
      <w:r>
        <w:t xml:space="preserve">Every design decision must keep CRP framed as</w:t>
      </w:r>
      <w:r>
        <w:t xml:space="preserve"> </w:t>
      </w:r>
      <w:r>
        <w:rPr>
          <w:bCs/>
          <w:b/>
        </w:rPr>
        <w:t xml:space="preserve">agentic positioning for SLM-first AI, proven safe.</w:t>
      </w:r>
      <w:r>
        <w:t xml:space="preserve"> </w:t>
      </w:r>
      <w:r>
        <w:t xml:space="preserve">Do not let an engineering convenience reframe the product as</w:t>
      </w:r>
      <w:r>
        <w:t xml:space="preserve"> </w:t>
      </w:r>
      <w:r>
        <w:t xml:space="preserve">“</w:t>
      </w:r>
      <w:r>
        <w:t xml:space="preserve">another agent framework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MCP-plus-headers.</w:t>
      </w:r>
      <w:r>
        <w:t xml:space="preserve">”</w:t>
      </w:r>
      <w:r>
        <w:t xml:space="preserve"> </w:t>
      </w:r>
      <w:r>
        <w:t xml:space="preserve">Keep Comply on the</w:t>
      </w:r>
      <w:r>
        <w:t xml:space="preserve"> </w:t>
      </w:r>
      <w:r>
        <w:rPr>
          <w:bCs/>
          <w:b/>
        </w:rPr>
        <w:t xml:space="preserve">compliance budget line</w:t>
      </w:r>
      <w:r>
        <w:t xml:space="preserve">; keep security/positioning as the</w:t>
      </w:r>
      <w:r>
        <w:t xml:space="preserve"> </w:t>
      </w:r>
      <w:r>
        <w:rPr>
          <w:bCs/>
          <w:b/>
        </w:rPr>
        <w:t xml:space="preserve">Gateway/protocol</w:t>
      </w:r>
      <w:r>
        <w:t xml:space="preserve"> </w:t>
      </w:r>
      <w:r>
        <w:t xml:space="preserve">story. If a technical choice would force a positioning drift, flag it (§5.1) rather than silently taking it.</w:t>
      </w:r>
    </w:p>
    <w:bookmarkEnd w:id="23"/>
    <w:bookmarkStart w:id="24" w:name="reusability-is-the-north-star"/>
    <w:p>
      <w:pPr>
        <w:pStyle w:val="Heading3"/>
      </w:pPr>
      <w:r>
        <w:t xml:space="preserve">3.2 Reusability is the north star</w:t>
      </w:r>
    </w:p>
    <w:p>
      <w:pPr>
        <w:pStyle w:val="FirstParagraph"/>
      </w:pPr>
      <w:r>
        <w:t xml:space="preserve">The definition of success:</w:t>
      </w:r>
      <w:r>
        <w:t xml:space="preserve"> </w:t>
      </w:r>
      <w:r>
        <w:rPr>
          <w:bCs/>
          <w:b/>
        </w:rPr>
        <w:t xml:space="preserve">building a new agent = declaring its tools (typed manifest) + policy + model. The loop is the protocol’s.</w:t>
      </w:r>
      <w:r>
        <w:t xml:space="preserve"> </w:t>
      </w:r>
      <w:r>
        <w:t xml:space="preserve">When SPEC-049/050/051 later ship, every existing agent must inherit them for free, with no per-agent rewrite. If any design forces per-agent re-implementation of positioning, tool-calling, safety, or narration, it is wrong — fix it.</w:t>
      </w:r>
    </w:p>
    <w:bookmarkEnd w:id="24"/>
    <w:bookmarkStart w:id="25" w:name="X21efaa297b947800854f0011354cf1d5c7184a3"/>
    <w:p>
      <w:pPr>
        <w:pStyle w:val="Heading3"/>
      </w:pPr>
      <w:r>
        <w:t xml:space="preserve">3.3 Honesty rule (ship what’s real, name what’s not)</w:t>
      </w:r>
    </w:p>
    <w:p>
      <w:pPr>
        <w:pStyle w:val="FirstParagraph"/>
      </w:pPr>
      <w:r>
        <w:t xml:space="preserve">The corpus deliberately marks things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and defers data-dependent specs. Preserve this.</w:t>
      </w:r>
      <w:r>
        <w:t xml:space="preserve"> </w:t>
      </w:r>
      <w:r>
        <w:rPr>
          <w:bCs/>
          <w:b/>
        </w:rPr>
        <w:t xml:space="preserve">Do not implement, and do not let marketing claim,</w:t>
      </w:r>
      <w:r>
        <w:t xml:space="preserve"> </w:t>
      </w:r>
      <w:r>
        <w:t xml:space="preserve">capabilities that need a trained model or data volume we do not have at ~3 clients (learned router SPEC-050, PRM judge in SPEC-049, world-model induction SPEC-051, calibration SPEC-055). These are</w:t>
      </w:r>
      <w:r>
        <w:t xml:space="preserve"> </w:t>
      </w:r>
      <w:r>
        <w:rPr>
          <w:iCs/>
          <w:i/>
        </w:rPr>
        <w:t xml:space="preserve">published roadmap</w:t>
      </w:r>
      <w:r>
        <w:t xml:space="preserve">, not launch. Over-claiming in a governance product is a legal and reputational risk, not just a marketing 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your-tasks-in-order"/>
    <w:p>
      <w:pPr>
        <w:pStyle w:val="Heading2"/>
      </w:pPr>
      <w:r>
        <w:t xml:space="preserve">4. Your tasks, in order</w:t>
      </w:r>
    </w:p>
    <w:bookmarkStart w:id="27" w:name="X11cc1a05b8cfb0de5b595820dced09a1a2788bd"/>
    <w:p>
      <w:pPr>
        <w:pStyle w:val="Heading3"/>
      </w:pPr>
      <w:r>
        <w:t xml:space="preserve">Phase 0 — Ingest &amp; build the traceability matrix</w:t>
      </w:r>
    </w:p>
    <w:p>
      <w:pPr>
        <w:pStyle w:val="FirstParagraph"/>
      </w:pPr>
      <w:r>
        <w:t xml:space="preserve">Read all five documents and the live catalogue. Produce a</w:t>
      </w:r>
      <w:r>
        <w:t xml:space="preserve"> </w:t>
      </w:r>
      <w:r>
        <w:rPr>
          <w:bCs/>
          <w:b/>
        </w:rPr>
        <w:t xml:space="preserve">traceability matrix</w:t>
      </w:r>
      <w:r>
        <w:t xml:space="preserve">: every research roadmap item (R1–R5, T1–T6, D1–D6) → the spec that covers it (existing SPEC-00x or v6 SPEC-04x/05x/059) → the actual code module in the repo that implements it (or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) → status (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gap</w:t>
      </w:r>
      <w:r>
        <w:t xml:space="preserve">). This matrix is the map for everything after.</w:t>
      </w:r>
    </w:p>
    <w:bookmarkEnd w:id="27"/>
    <w:bookmarkStart w:id="28" w:name="X6c3d1f50553a980a29c03b13bb87ca786016995"/>
    <w:p>
      <w:pPr>
        <w:pStyle w:val="Heading3"/>
      </w:pPr>
      <w:r>
        <w:t xml:space="preserve">Phase 1 — Proof-check &amp; correct against the real code</w:t>
      </w:r>
    </w:p>
    <w:p>
      <w:pPr>
        <w:pStyle w:val="FirstParagraph"/>
      </w:pPr>
      <w:r>
        <w:t xml:space="preserve">The Agent SDK code in deliverable #5 uses</w:t>
      </w:r>
      <w:r>
        <w:t xml:space="preserve"> </w:t>
      </w:r>
      <w:r>
        <w:rPr>
          <w:bCs/>
          <w:b/>
        </w:rPr>
        <w:t xml:space="preserve">inferred</w:t>
      </w:r>
      <w:r>
        <w:t xml:space="preserve"> </w:t>
      </w:r>
      <w:r>
        <w:t xml:space="preserve">method names (</w:t>
      </w:r>
      <w:r>
        <w:rPr>
          <w:rStyle w:val="VerbatimChar"/>
        </w:rPr>
        <w:t xml:space="preserve">SDKClient.position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narrate_faithful</w:t>
      </w:r>
      <w:r>
        <w:t xml:space="preserve">,</w:t>
      </w:r>
      <w:r>
        <w:t xml:space="preserve"> </w:t>
      </w:r>
      <w:r>
        <w:rPr>
          <w:rStyle w:val="VerbatimChar"/>
        </w:rPr>
        <w:t xml:space="preserve">dpe</w:t>
      </w:r>
      <w:r>
        <w:t xml:space="preserve">,</w:t>
      </w:r>
      <w:r>
        <w:t xml:space="preserve"> </w:t>
      </w:r>
      <w:r>
        <w:rPr>
          <w:rStyle w:val="VerbatimChar"/>
        </w:rPr>
        <w:t xml:space="preserve">ckf.index_manifest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stream_sink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tokenizer_key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). These are shape-real, not name-real. Your job:</w:t>
      </w:r>
      <w:r>
        <w:t xml:space="preserve"> </w:t>
      </w:r>
      <w:r>
        <w:t xml:space="preserve">- Map each inferred call to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rPr>
          <w:rStyle w:val="VerbatimChar"/>
        </w:rPr>
        <w:t xml:space="preserve">crp.SDKClient</w:t>
      </w:r>
      <w:r>
        <w:t xml:space="preserve"> </w:t>
      </w:r>
      <w:r>
        <w:t xml:space="preserve">/ Gateway / CKF / DPE method and signature in the repo. Rewrite SPEC-059 and the</w:t>
      </w:r>
      <w:r>
        <w:t xml:space="preserve"> </w:t>
      </w:r>
      <w:r>
        <w:rPr>
          <w:rStyle w:val="VerbatimChar"/>
        </w:rPr>
        <w:t xml:space="preserve">crp.Agent</w:t>
      </w:r>
      <w:r>
        <w:t xml:space="preserve"> </w:t>
      </w:r>
      <w:r>
        <w:t xml:space="preserve">class to bind to the</w:t>
      </w:r>
      <w:r>
        <w:t xml:space="preserve"> </w:t>
      </w:r>
      <w:r>
        <w:rPr>
          <w:bCs/>
          <w:b/>
        </w:rPr>
        <w:t xml:space="preserve">real API and naming conventions</w:t>
      </w:r>
      <w:r>
        <w:t xml:space="preserve">.</w:t>
      </w:r>
      <w:r>
        <w:t xml:space="preserve"> </w:t>
      </w:r>
      <w:r>
        <w:t xml:space="preserve">- For every spec claim (SPEC-049…059) that asserts the protocol</w:t>
      </w:r>
      <w:r>
        <w:t xml:space="preserve"> </w:t>
      </w:r>
      <w:r>
        <w:t xml:space="preserve">“</w:t>
      </w:r>
      <w:r>
        <w:t xml:space="preserve">does X,</w:t>
      </w:r>
      <w:r>
        <w:t xml:space="preserve">”</w:t>
      </w:r>
      <w:r>
        <w:t xml:space="preserve"> </w:t>
      </w:r>
      <w:r>
        <w:t xml:space="preserve">verify the repo actually does X. Where it doesn’t, mark the spec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and note the delta.</w:t>
      </w:r>
      <w:r>
        <w:t xml:space="preserve"> </w:t>
      </w:r>
      <w:r>
        <w:t xml:space="preserve">- Confirm integration-point spec numbers are right (e.g. the corpus assumes DPE=005, SPDL=006, dispatch=008, CKF=009, audit=011, Gateway=016, ROS=021, SQB=026, Tier-E=029, CSO=030, STL=031, Safety Control Plane=033, Multi-Agent Safety=012). Correct any that are wrong against the live catalogue.</w:t>
      </w:r>
    </w:p>
    <w:bookmarkEnd w:id="28"/>
    <w:bookmarkStart w:id="29" w:name="Xc63e94b9467eeadb5e1d0df13976175427d6987"/>
    <w:p>
      <w:pPr>
        <w:pStyle w:val="Heading3"/>
      </w:pPr>
      <w:r>
        <w:t xml:space="preserve">Phase 2 — Close the real gap: SPEC-059 (tool manifest + compiler + envelope)</w:t>
      </w:r>
    </w:p>
    <w:p>
      <w:pPr>
        <w:pStyle w:val="FirstParagraph"/>
      </w:pPr>
      <w:r>
        <w:t xml:space="preserve">Implement the T1/T2/T4 layer against the real substrate: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Typed Tool Manifest (T1):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base + per-tool metadata (</w:t>
      </w:r>
      <w:r>
        <w:rPr>
          <w:rStyle w:val="VerbatimChar"/>
        </w:rPr>
        <w:t xml:space="preserve">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safety_class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requires_privilege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when_to_use</w:t>
      </w:r>
      <w:r>
        <w:t xml:space="preserve">), indexed in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CKF for selection-as-retrieval (T5).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Intent-Compiler (T2):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compile()</w:t>
      </w:r>
      <w:r>
        <w:t xml:space="preserve"> </w:t>
      </w:r>
      <w:r>
        <w:t xml:space="preserve">convention — model fills a safe typed intent; a deterministic, versioned compiler emits the real invocation + provenance. Wire dangerous-binary tools (e.g. the pentest scanner) through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Tool-Result Envelope (T4):</w:t>
      </w:r>
      <w:r>
        <w:t xml:space="preserve"> </w:t>
      </w:r>
      <w:r>
        <w:t xml:space="preserve">structured capture, raw-by-reference, confidence, hashed into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HMAC audit chain (SPEC-011).</w:t>
      </w:r>
      <w:r>
        <w:t xml:space="preserve"> </w:t>
      </w:r>
      <w:r>
        <w:t xml:space="preserve">Bind all three to the actual dispatch/CKF/audit APIs from Phase 1.</w:t>
      </w:r>
    </w:p>
    <w:bookmarkEnd w:id="29"/>
    <w:bookmarkStart w:id="30" w:name="phase-3-validate-finalise-the-launch-cut"/>
    <w:p>
      <w:pPr>
        <w:pStyle w:val="Heading3"/>
      </w:pPr>
      <w:r>
        <w:t xml:space="preserve">Phase 3 — Validate &amp; finalise the launch cut</w:t>
      </w:r>
    </w:p>
    <w:p>
      <w:pPr>
        <w:pStyle w:val="FirstParagraph"/>
      </w:pPr>
      <w:r>
        <w:t xml:space="preserve">Confirm the §3.3 launch cut is buildable in the month</w:t>
      </w:r>
      <w:r>
        <w:t xml:space="preserve"> </w:t>
      </w:r>
      <w:r>
        <w:rPr>
          <w:bCs/>
          <w:b/>
        </w:rPr>
        <w:t xml:space="preserve">against the real code</w:t>
      </w:r>
      <w:r>
        <w:t xml:space="preserve">. Re-sequence if reality disagrees. The launch build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SPEC-059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</w:t>
      </w:r>
      <w:r>
        <w:t xml:space="preserve"> </w:t>
      </w:r>
      <w:r>
        <w:t xml:space="preserve">(the reuse surface) — bound to real API.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SPEC-054 Structured Decoding</w:t>
      </w:r>
      <w:r>
        <w:t xml:space="preserve"> </w:t>
      </w:r>
      <w:r>
        <w:t xml:space="preserve">— XGrammar in the Gateway generation path (verify XGrammar is compatible with the runtime we use — vLLM/SGLang/Ollama; if Ollama-only, identify the grammar path or a fallback).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SPEC-056 D1–D3 only</w:t>
      </w:r>
      <w:r>
        <w:t xml:space="preserve"> </w:t>
      </w:r>
      <w:r>
        <w:t xml:space="preserve">— AG-UI event emission, the</w:t>
      </w:r>
      <w:r>
        <w:t xml:space="preserve"> </w:t>
      </w:r>
      <w:r>
        <w:rPr>
          <w:rStyle w:val="VerbatimChar"/>
        </w:rPr>
        <w:t xml:space="preserve">crp.*</w:t>
      </w:r>
      <w:r>
        <w:t xml:space="preserve"> </w:t>
      </w:r>
      <w:r>
        <w:t xml:space="preserve">governance-event vocabulary, and faithful (entailment-checked) narration. Defer D4–D6.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reference agent</w:t>
      </w:r>
      <w:r>
        <w:t xml:space="preserve"> </w:t>
      </w:r>
      <w:r>
        <w:t xml:space="preserve">end-to-end via the SDK +</w:t>
      </w:r>
      <w:r>
        <w:t xml:space="preserve"> </w:t>
      </w:r>
      <w:r>
        <w:rPr>
          <w:bCs/>
          <w:b/>
        </w:rPr>
        <w:t xml:space="preserve">quickstart docs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Scan → Gateway → Comply funnel</w:t>
      </w:r>
      <w:r>
        <w:t xml:space="preserve"> </w:t>
      </w:r>
      <w:r>
        <w:t xml:space="preserve">wired and tested; Comply generates an evidence pack from a real Agent-SDK run.</w:t>
      </w:r>
      <w:r>
        <w:t xml:space="preserve"> </w:t>
      </w:r>
      <w:r>
        <w:t xml:space="preserve">Everything else (SPEC-049 PRM, 050, 051, 053, 055, 057) →</w:t>
      </w:r>
      <w:r>
        <w:t xml:space="preserve"> </w:t>
      </w:r>
      <w:r>
        <w:rPr>
          <w:bCs/>
          <w:b/>
        </w:rPr>
        <w:t xml:space="preserve">published roadmap</w:t>
      </w:r>
      <w:r>
        <w:t xml:space="preserve">, not built.</w:t>
      </w:r>
    </w:p>
    <w:bookmarkEnd w:id="30"/>
    <w:bookmarkStart w:id="31" w:name="phase-4-implement"/>
    <w:p>
      <w:pPr>
        <w:pStyle w:val="Heading3"/>
      </w:pPr>
      <w:r>
        <w:t xml:space="preserve">Phase 4 — Implement</w:t>
      </w:r>
    </w:p>
    <w:p>
      <w:pPr>
        <w:pStyle w:val="FirstParagraph"/>
      </w:pPr>
      <w:r>
        <w:t xml:space="preserve">Build Phase 3’s list. One PR per component. Each PR must show the reusability invariant (§3.2) holds: the reference agent, and a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trivially-different agent, both run on the unmodified loop.</w:t>
      </w:r>
    </w:p>
    <w:bookmarkEnd w:id="31"/>
    <w:bookmarkStart w:id="32" w:name="X30bfa952e773287dc458af9ec78a6919ae8a41f"/>
    <w:p>
      <w:pPr>
        <w:pStyle w:val="Heading3"/>
      </w:pPr>
      <w:r>
        <w:t xml:space="preserve">Phase 5 — Further-investigate the research (feasibility pass)</w:t>
      </w:r>
    </w:p>
    <w:p>
      <w:pPr>
        <w:pStyle w:val="FirstParagraph"/>
      </w:pPr>
      <w:r>
        <w:t xml:space="preserve">For each deferred/roadmap spec, do a short feasibility spike and write a one-paragraph verdict: is the approach in the research still current (check the cited libraries — XGrammar, Z3, semantic entropy, WALL-E-style induction, RouteLLM, Graphiti — are current as of mid-2026), is it feasible on our stack, and what is the real trigger to build it (usually data volume). Flag anything the research over-optimistically assumed. This protects us from building on a stale or infeasible premise later.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what-to-deliver-back"/>
    <w:p>
      <w:pPr>
        <w:pStyle w:val="Heading2"/>
      </w:pPr>
      <w:r>
        <w:t xml:space="preserve">5. What to deliver back</w:t>
      </w:r>
    </w:p>
    <w:bookmarkStart w:id="34" w:name="a-correction-log"/>
    <w:p>
      <w:pPr>
        <w:pStyle w:val="Heading3"/>
      </w:pPr>
      <w:r>
        <w:t xml:space="preserve">5.1 A correction log</w:t>
      </w:r>
    </w:p>
    <w:p>
      <w:pPr>
        <w:pStyle w:val="FirstParagraph"/>
      </w:pPr>
      <w:r>
        <w:t xml:space="preserve">Every place the corpus was wrong about the code, the real name/convention, or an infeasible assumption — with the correction. This is how the specs become trustworthy.</w:t>
      </w:r>
    </w:p>
    <w:bookmarkEnd w:id="34"/>
    <w:bookmarkStart w:id="35" w:name="X3aaf005c9424d5e86c39e99f361309e7774790a"/>
    <w:p>
      <w:pPr>
        <w:pStyle w:val="Heading3"/>
      </w:pPr>
      <w:r>
        <w:t xml:space="preserve">5.2 The traceability matrix (Phase 0), completed.</w:t>
      </w:r>
    </w:p>
    <w:bookmarkEnd w:id="35"/>
    <w:bookmarkStart w:id="36" w:name="Xd25083eef0eb4ddbb8f3436da71ec18981ade17"/>
    <w:p>
      <w:pPr>
        <w:pStyle w:val="Heading3"/>
      </w:pPr>
      <w:r>
        <w:t xml:space="preserve">5.3 Corrected, real-API-bound SPEC-059 and</w:t>
      </w:r>
      <w:r>
        <w:t xml:space="preserve"> </w:t>
      </w:r>
      <w:r>
        <w:rPr>
          <w:rStyle w:val="VerbatimChar"/>
        </w:rPr>
        <w:t xml:space="preserve">crp.Agent</w:t>
      </w:r>
      <w:r>
        <w:t xml:space="preserve"> </w:t>
      </w:r>
      <w:r>
        <w:t xml:space="preserve">SDK</w:t>
      </w:r>
    </w:p>
    <w:p>
      <w:pPr>
        <w:pStyle w:val="FirstParagraph"/>
      </w:pPr>
      <w:r>
        <w:t xml:space="preserve">Copy-paste-real, not shape-real. Plus the reference agent and the second-agent reuse proof.</w:t>
      </w:r>
    </w:p>
    <w:bookmarkEnd w:id="36"/>
    <w:bookmarkStart w:id="37" w:name="a-gap-list-with-severity-effort"/>
    <w:p>
      <w:pPr>
        <w:pStyle w:val="Heading3"/>
      </w:pPr>
      <w:r>
        <w:t xml:space="preserve">5.4 A gap list with severity × effort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specced-only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gap</w:t>
      </w:r>
      <w:r>
        <w:t xml:space="preserve"> </w:t>
      </w:r>
      <w:r>
        <w:t xml:space="preserve">item, sized, with a recommendation: launch / roadmap / drop.</w:t>
      </w:r>
    </w:p>
    <w:bookmarkEnd w:id="37"/>
    <w:bookmarkStart w:id="38" w:name="the-launch-pr-plan"/>
    <w:p>
      <w:pPr>
        <w:pStyle w:val="Heading3"/>
      </w:pPr>
      <w:r>
        <w:t xml:space="preserve">5.5 The launch PR plan</w:t>
      </w:r>
    </w:p>
    <w:p>
      <w:pPr>
        <w:pStyle w:val="FirstParagraph"/>
      </w:pPr>
      <w:r>
        <w:t xml:space="preserve">The ordered PRs for Phase 4, with the acceptance criteria (§6) per PR.</w:t>
      </w:r>
    </w:p>
    <w:bookmarkEnd w:id="38"/>
    <w:bookmarkStart w:id="39" w:name="the-feasibility-verdicts-phase-5."/>
    <w:p>
      <w:pPr>
        <w:pStyle w:val="Heading3"/>
      </w:pPr>
      <w:r>
        <w:t xml:space="preserve">5.6 The feasibility verdicts (Phase 5).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876dad70d4ef0dff5a507adddd2c13ee14ba0f4"/>
    <w:p>
      <w:pPr>
        <w:pStyle w:val="Heading2"/>
      </w:pPr>
      <w:r>
        <w:t xml:space="preserve">6. Definition of done (launch acceptance criteria)</w:t>
      </w:r>
    </w:p>
    <w:p>
      <w:pPr>
        <w:numPr>
          <w:ilvl w:val="0"/>
          <w:numId w:val="1002"/>
        </w:numPr>
        <w:pStyle w:val="Compact"/>
      </w:pPr>
      <w:r>
        <w:t xml:space="preserve">☐ A developer can build a new governed agent by declaring tools + policy + model —</w:t>
      </w:r>
      <w:r>
        <w:t xml:space="preserve"> </w:t>
      </w:r>
      <w:r>
        <w:rPr>
          <w:bCs/>
          <w:b/>
        </w:rPr>
        <w:t xml:space="preserve">no loop code</w:t>
      </w:r>
      <w:r>
        <w:t xml:space="preserve"> </w:t>
      </w:r>
      <w:r>
        <w:t xml:space="preserve">— and it runs positioning, grammar-valid tool calls, safety-class gating/HITL, DPE on every step, faithful narration, and a signed audit.</w:t>
      </w:r>
      <w:r>
        <w:t xml:space="preserve"> </w:t>
      </w:r>
      <w:r>
        <w:rPr>
          <w:iCs/>
          <w:i/>
        </w:rPr>
        <w:t xml:space="preserve">(Reusability proven.)</w:t>
      </w:r>
    </w:p>
    <w:p>
      <w:pPr>
        <w:numPr>
          <w:ilvl w:val="0"/>
          <w:numId w:val="1002"/>
        </w:numPr>
        <w:pStyle w:val="Compact"/>
      </w:pPr>
      <w:r>
        <w:t xml:space="preserve">☐ A second, unrelated agent is built the same way in ~15 lines on the</w:t>
      </w:r>
      <w:r>
        <w:t xml:space="preserve"> </w:t>
      </w:r>
      <w:r>
        <w:rPr>
          <w:bCs/>
          <w:b/>
        </w:rPr>
        <w:t xml:space="preserve">unmodified</w:t>
      </w:r>
      <w:r>
        <w:t xml:space="preserve"> </w:t>
      </w:r>
      <w:r>
        <w:t xml:space="preserve">loop.</w:t>
      </w:r>
      <w:r>
        <w:t xml:space="preserve"> </w:t>
      </w:r>
      <w:r>
        <w:rPr>
          <w:iCs/>
          <w:i/>
        </w:rPr>
        <w:t xml:space="preserve">(Reuse invariant.)</w:t>
      </w:r>
    </w:p>
    <w:p>
      <w:pPr>
        <w:numPr>
          <w:ilvl w:val="0"/>
          <w:numId w:val="1002"/>
        </w:numPr>
        <w:pStyle w:val="Compact"/>
      </w:pPr>
      <w:r>
        <w:t xml:space="preserve">☐ Local-SLM tool calls are structurally valid by construction (structured decoding live).</w:t>
      </w:r>
      <w:r>
        <w:t xml:space="preserve"> </w:t>
      </w:r>
      <w:r>
        <w:rPr>
          <w:iCs/>
          <w:i/>
        </w:rPr>
        <w:t xml:space="preserve">(Reliability.)</w:t>
      </w:r>
    </w:p>
    <w:p>
      <w:pPr>
        <w:numPr>
          <w:ilvl w:val="0"/>
          <w:numId w:val="1002"/>
        </w:numPr>
        <w:pStyle w:val="Compact"/>
      </w:pPr>
      <w:r>
        <w:t xml:space="preserve">☐ A run streams AG-UI +</w:t>
      </w:r>
      <w:r>
        <w:t xml:space="preserve"> </w:t>
      </w:r>
      <w:r>
        <w:rPr>
          <w:rStyle w:val="VerbatimChar"/>
        </w:rPr>
        <w:t xml:space="preserve">crp.*</w:t>
      </w:r>
      <w:r>
        <w:t xml:space="preserve"> </w:t>
      </w:r>
      <w:r>
        <w:t xml:space="preserve">governance events; narration is entailment-checked against the trace.</w:t>
      </w:r>
      <w:r>
        <w:t xml:space="preserve"> </w:t>
      </w:r>
      <w:r>
        <w:rPr>
          <w:iCs/>
          <w:i/>
        </w:rPr>
        <w:t xml:space="preserve">(Legibility + faithfulness.)</w:t>
      </w:r>
    </w:p>
    <w:p>
      <w:pPr>
        <w:numPr>
          <w:ilvl w:val="0"/>
          <w:numId w:val="1002"/>
        </w:numPr>
        <w:pStyle w:val="Compact"/>
      </w:pPr>
      <w:r>
        <w:t xml:space="preserve">☐ Comply produces an audit-ready evidence pack from an Agent-SDK run; the Scan → Gateway → Comply path converts end-to-end.</w:t>
      </w:r>
      <w:r>
        <w:t xml:space="preserve"> </w:t>
      </w:r>
      <w:r>
        <w:rPr>
          <w:iCs/>
          <w:i/>
        </w:rPr>
        <w:t xml:space="preserve">(Monetisation path.)</w:t>
      </w:r>
    </w:p>
    <w:p>
      <w:pPr>
        <w:numPr>
          <w:ilvl w:val="0"/>
          <w:numId w:val="1002"/>
        </w:numPr>
        <w:pStyle w:val="Compact"/>
      </w:pPr>
      <w:r>
        <w:t xml:space="preserve">☐ The SPEC docs match the code (correction log applied); roadmap specs are clearly labelled roadmap.</w:t>
      </w:r>
      <w:r>
        <w:t xml:space="preserve"> </w:t>
      </w:r>
      <w:r>
        <w:rPr>
          <w:iCs/>
          <w:i/>
        </w:rPr>
        <w:t xml:space="preserve">(Honesty rule.)</w:t>
      </w:r>
    </w:p>
    <w:p>
      <w:pPr>
        <w:numPr>
          <w:ilvl w:val="0"/>
          <w:numId w:val="1002"/>
        </w:numPr>
        <w:pStyle w:val="Compact"/>
      </w:pPr>
      <w:r>
        <w:t xml:space="preserve">☐ The marketing position (§1, §3.1) is intact across protocol, Gateway, and Comply.</w:t>
      </w:r>
      <w:r>
        <w:t xml:space="preserve"> </w:t>
      </w:r>
      <w:r>
        <w:rPr>
          <w:iCs/>
          <w:i/>
        </w:rPr>
        <w:t xml:space="preserve">(No drift.)</w:t>
      </w:r>
    </w:p>
    <w:p>
      <w:r>
        <w:pict>
          <v:rect style="width:0;height:1.5pt" o:hralign="center" o:hrstd="t" o:hr="t"/>
        </w:pict>
      </w:r>
    </w:p>
    <w:bookmarkEnd w:id="41"/>
    <w:bookmarkStart w:id="42" w:name="one-line-summary-for-the-developer"/>
    <w:p>
      <w:pPr>
        <w:pStyle w:val="Heading2"/>
      </w:pPr>
      <w:r>
        <w:t xml:space="preserve">7. One-line summary for the developer</w:t>
      </w:r>
    </w:p>
    <w:p>
      <w:pPr>
        <w:pStyle w:val="FirstParagraph"/>
      </w:pPr>
      <w:r>
        <w:rPr>
          <w:bCs/>
          <w:b/>
        </w:rPr>
        <w:t xml:space="preserve">Verify the corpus against the repo; bind SPEC-059 and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crp.Agent</w:t>
      </w:r>
      <w:r>
        <w:rPr>
          <w:bCs/>
          <w:b/>
        </w:rPr>
        <w:t xml:space="preserve"> </w:t>
      </w:r>
      <w:r>
        <w:rPr>
          <w:bCs/>
          <w:b/>
        </w:rPr>
        <w:t xml:space="preserve">SDK to the real API; ship the reuse layer + structured decoding + streaming governance + one reference agent so anyone can build governed SLM agents by declaring tools and policy; publish the heavy specs as roadmap; keep Comply on the compliance budget line and the position exactly as agreed. Reusability is the whole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Attachments: the five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_source.md</w:t>
      </w:r>
      <w:r>
        <w:rPr>
          <w:iCs/>
          <w:i/>
        </w:rPr>
        <w:t xml:space="preserve"> </w:t>
      </w:r>
      <w:r>
        <w:rPr>
          <w:iCs/>
          <w:i/>
        </w:rPr>
        <w:t xml:space="preserve">deliverables above. Source of truth: the CRP monorepo and crprotocol.io. When they conflict, the repo wins and the docs get corrected.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2026-07-08T04:22:28Z</dcterms:created>
  <dcterms:modified xsi:type="dcterms:W3CDTF">2026-07-08T04:22:28Z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