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60.png" ContentType="image/png"/>
  <Override PartName="/word/media/rId97.png" ContentType="image/png"/>
  <Override PartName="/word/media/rId44.png" ContentType="image/png"/>
  <Override PartName="/word/media/rId70.png" ContentType="image/png"/>
  <Override PartName="/word/media/rId29.png" ContentType="image/png"/>
  <Override PartName="/word/media/rId113.png" ContentType="image/png"/>
  <Override PartName="/word/media/rId34.png" ContentType="image/png"/>
  <Override PartName="/word/media/rId81.png" ContentType="image/png"/>
  <Override PartName="/word/media/rId9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3cf205c6088fabd7074c1e28a1a8c3061405a88"/>
    <w:p>
      <w:pPr>
        <w:pStyle w:val="Heading1"/>
      </w:pPr>
      <w:r>
        <w:t xml:space="preserve">What Contributes to User Satisfaction and Gratification: A Comprehensive Guide for Modern Applications — Tailored to CRP Comply</w:t>
      </w:r>
    </w:p>
    <w:p>
      <w:pPr>
        <w:pStyle w:val="FirstParagraph"/>
      </w:pPr>
      <w:r>
        <w:rPr>
          <w:bCs/>
          <w:b/>
        </w:rPr>
        <w:t xml:space="preserve">Date</w:t>
      </w:r>
      <w:r>
        <w:t xml:space="preserve">: July 2025</w:t>
      </w:r>
    </w:p>
    <w:p>
      <w:pPr>
        <w:pStyle w:val="BodyText"/>
      </w:pPr>
      <w:r>
        <w:rPr>
          <w:bCs/>
          <w:b/>
        </w:rPr>
        <w:t xml:space="preserve">Prepared for</w:t>
      </w:r>
      <w:r>
        <w:t xml:space="preserve">: CRP Comply (AutoCyber AI Pty Ltd)</w:t>
      </w:r>
    </w:p>
    <w:p>
      <w:pPr>
        <w:pStyle w:val="BodyText"/>
      </w:pPr>
      <w:r>
        <w:rPr>
          <w:bCs/>
          <w:b/>
        </w:rPr>
        <w:t xml:space="preserve">Research scope</w:t>
      </w:r>
      <w:r>
        <w:t xml:space="preserve">: 12 dimensions, 200+ sources, 15 cross-cutting insights</w:t>
      </w:r>
    </w:p>
    <w:p>
      <w:r>
        <w:pict>
          <v:rect style="width:0;height:1.5pt" o:hralign="center" o:hrstd="t" o:hr="t"/>
        </w:pict>
      </w:r>
    </w:p>
    <w:bookmarkStart w:id="24" w:name="executive-summary"/>
    <w:p>
      <w:pPr>
        <w:pStyle w:val="Heading2"/>
      </w:pPr>
      <w:r>
        <w:t xml:space="preserve">Executive Summary</w:t>
      </w:r>
    </w:p>
    <w:p>
      <w:pPr>
        <w:pStyle w:val="FirstParagraph"/>
      </w:pPr>
      <w:r>
        <w:rPr>
          <w:bCs/>
          <w:b/>
        </w:rPr>
        <w:t xml:space="preserve">90% of SaaS users churn if they do not experience product value within the first week</w:t>
      </w:r>
      <w:r>
        <w:t xml:space="preserve"> </w:t>
      </w:r>
      <w:r>
        <w:rPr>
          <w:vertAlign w:val="superscript"/>
        </w:rPr>
        <w:footnoteReference w:id="1"/>
      </w:r>
      <w:r>
        <w:t xml:space="preserve">. In the compliance software industry — where time-to-value spans 4–12 weeks and no incumbent offers a free tier</w:t>
      </w:r>
      <w:r>
        <w:t xml:space="preserve"> </w:t>
      </w:r>
      <w:r>
        <w:rPr>
          <w:vertAlign w:val="superscript"/>
        </w:rPr>
        <w:footnoteReference w:id="2"/>
      </w:r>
      <w:r>
        <w:t xml:space="preserve">— this explains why activation rates languish at 37.5%</w:t>
      </w:r>
      <w:r>
        <w:t xml:space="preserve"> </w:t>
      </w:r>
      <w:r>
        <w:rPr>
          <w:vertAlign w:val="superscript"/>
        </w:rPr>
        <w:footnoteReference w:id="3"/>
      </w:r>
      <w:r>
        <w:t xml:space="preserve">. CRP Comply is architected to defy this pattern. This report synthesises twelve research dimensions, over 200 sources, and fifteen cross-cutting insights into a single framework: a compliance platform that delivers demonstrable value in</w:t>
      </w:r>
      <w:r>
        <w:t xml:space="preserve"> </w:t>
      </w:r>
      <w:r>
        <w:rPr>
          <w:bCs/>
          <w:b/>
        </w:rPr>
        <w:t xml:space="preserve">60 seconds</w:t>
      </w:r>
      <w:r>
        <w:t xml:space="preserve">.</w:t>
      </w:r>
    </w:p>
    <w:p>
      <w:pPr>
        <w:pStyle w:val="BodyText"/>
      </w:pPr>
      <w:r>
        <w:t xml:space="preserve">The quantitative case is immediate: passkeys complete in 8.5 seconds with a 98% success rate versus 31.2 seconds and 32% failures for password-plus-MFA</w:t>
      </w:r>
      <w:r>
        <w:t xml:space="preserve"> </w:t>
      </w:r>
      <w:r>
        <w:rPr>
          <w:vertAlign w:val="superscript"/>
        </w:rPr>
        <w:footnoteReference w:id="4"/>
      </w:r>
      <w:r>
        <w:t xml:space="preserve">. Perceived performance drives 67% of satisfaction while raw speed contributes only 28%</w:t>
      </w:r>
      <w:r>
        <w:t xml:space="preserve"> </w:t>
      </w:r>
      <w:r>
        <w:rPr>
          <w:vertAlign w:val="superscript"/>
        </w:rPr>
        <w:footnoteReference w:id="5"/>
      </w:r>
      <w:r>
        <w:t xml:space="preserve">. No competitor offers both a first-class CLI and polished web UI; none achieves sub-four-week time-to-value without consultants; and none eliminates the usage anxiety that inhibits AI exploration</w:t>
      </w:r>
      <w:r>
        <w:t xml:space="preserve"> </w:t>
      </w:r>
      <w:r>
        <w:rPr>
          <w:vertAlign w:val="superscript"/>
        </w:rPr>
        <w:footnoteReference w:id="6"/>
      </w:r>
      <w:r>
        <w:t xml:space="preserve">. CRP Comply’s combination of passkey security, local LLM mode, HMAC-signed audit chains, and streaming AI assistance is a structurally differentiated position.</w:t>
      </w:r>
    </w:p>
    <w:bookmarkStart w:id="20" w:name="report-structure"/>
    <w:p>
      <w:pPr>
        <w:pStyle w:val="Heading3"/>
      </w:pPr>
      <w:r>
        <w:t xml:space="preserve">Report Structure</w:t>
      </w:r>
    </w:p>
    <w:p>
      <w:pPr>
        <w:pStyle w:val="FirstParagraph"/>
      </w:pPr>
      <w:r>
        <w:t xml:space="preserve">This report spans twelve chapters across eight parts.</w:t>
      </w:r>
      <w:r>
        <w:t xml:space="preserve"> </w:t>
      </w:r>
      <w:r>
        <w:rPr>
          <w:bCs/>
          <w:b/>
        </w:rPr>
        <w:t xml:space="preserve">Part I — Foundation</w:t>
      </w:r>
      <w:r>
        <w:t xml:space="preserve"> </w:t>
      </w:r>
      <w:r>
        <w:t xml:space="preserve">covers satisfaction psychology from dopamine loops to flow states and the endowed progress effect</w:t>
      </w:r>
      <w:r>
        <w:t xml:space="preserve"> </w:t>
      </w:r>
      <w:r>
        <w:rPr>
          <w:vertAlign w:val="superscript"/>
        </w:rPr>
        <w:footnoteReference w:id="7"/>
      </w:r>
      <w:r>
        <w:t xml:space="preserve">.</w:t>
      </w:r>
      <w:r>
        <w:t xml:space="preserve"> </w:t>
      </w:r>
      <w:r>
        <w:rPr>
          <w:bCs/>
          <w:b/>
        </w:rPr>
        <w:t xml:space="preserve">Part II — Surface Experience</w:t>
      </w:r>
      <w:r>
        <w:t xml:space="preserve"> </w:t>
      </w:r>
      <w:r>
        <w:t xml:space="preserve">examines real-time UI, navigation efficiency, and AI agent UX patterns.</w:t>
      </w:r>
      <w:r>
        <w:t xml:space="preserve"> </w:t>
      </w:r>
      <w:r>
        <w:rPr>
          <w:bCs/>
          <w:b/>
        </w:rPr>
        <w:t xml:space="preserve">Part III — Intelligence</w:t>
      </w:r>
      <w:r>
        <w:t xml:space="preserve"> </w:t>
      </w:r>
      <w:r>
        <w:t xml:space="preserve">analyses five competitors, exposing universal pricing opacity and time-to-value gaps.</w:t>
      </w:r>
      <w:r>
        <w:t xml:space="preserve"> </w:t>
      </w:r>
      <w:r>
        <w:rPr>
          <w:bCs/>
          <w:b/>
        </w:rPr>
        <w:t xml:space="preserve">Part IV — Engine</w:t>
      </w:r>
      <w:r>
        <w:t xml:space="preserve"> </w:t>
      </w:r>
      <w:r>
        <w:t xml:space="preserve">addresses backend personalisation and multi-tenancy.</w:t>
      </w:r>
      <w:r>
        <w:t xml:space="preserve"> </w:t>
      </w:r>
      <w:r>
        <w:rPr>
          <w:bCs/>
          <w:b/>
        </w:rPr>
        <w:t xml:space="preserve">Part V — Trust &amp; Security</w:t>
      </w:r>
      <w:r>
        <w:t xml:space="preserve"> </w:t>
      </w:r>
      <w:r>
        <w:t xml:space="preserve">demonstrates passkeys are 8–14x faster and that visible security features are marketing features</w:t>
      </w:r>
      <w:r>
        <w:t xml:space="preserve"> </w:t>
      </w:r>
      <w:fldSimple w:instr="NOTEREF _Ref_Footnote_4 \h \f">
        <w:r>
          <w:rPr>
            <w:vertAlign w:val="superscript"/>
          </w:rPr>
          <w:t>4</w:t>
        </w:r>
      </w:fldSimple>
      <w:r>
        <w:t xml:space="preserve">.</w:t>
      </w:r>
      <w:r>
        <w:t xml:space="preserve"> </w:t>
      </w:r>
      <w:r>
        <w:rPr>
          <w:bCs/>
          <w:b/>
        </w:rPr>
        <w:t xml:space="preserve">Part VI — Reliability</w:t>
      </w:r>
      <w:r>
        <w:t xml:space="preserve"> </w:t>
      </w:r>
      <w:r>
        <w:t xml:space="preserve">covers observability and SLO-based alerting.</w:t>
      </w:r>
      <w:r>
        <w:t xml:space="preserve"> </w:t>
      </w:r>
      <w:r>
        <w:rPr>
          <w:bCs/>
          <w:b/>
        </w:rPr>
        <w:t xml:space="preserve">Part VII — The Journey</w:t>
      </w:r>
      <w:r>
        <w:t xml:space="preserve"> </w:t>
      </w:r>
      <w:r>
        <w:t xml:space="preserve">maps the 60-second onboarding flow and the Service Recovery Paradox</w:t>
      </w:r>
      <w:r>
        <w:t xml:space="preserve"> </w:t>
      </w:r>
      <w:r>
        <w:rPr>
          <w:vertAlign w:val="superscript"/>
        </w:rPr>
        <w:footnoteReference w:id="8"/>
      </w:r>
      <w:r>
        <w:t xml:space="preserve">.</w:t>
      </w:r>
      <w:r>
        <w:t xml:space="preserve"> </w:t>
      </w:r>
      <w:r>
        <w:rPr>
          <w:bCs/>
          <w:b/>
        </w:rPr>
        <w:t xml:space="preserve">Part VIII — Action Plan</w:t>
      </w:r>
      <w:r>
        <w:t xml:space="preserve"> </w:t>
      </w:r>
      <w:r>
        <w:t xml:space="preserve">consolidates findings into a roadmap.</w:t>
      </w:r>
    </w:p>
    <w:bookmarkEnd w:id="20"/>
    <w:bookmarkStart w:id="21" w:name="priority-insights-at-a-glance"/>
    <w:p>
      <w:pPr>
        <w:pStyle w:val="Heading3"/>
      </w:pPr>
      <w:r>
        <w:t xml:space="preserve">Priority Insights at a Glance</w:t>
      </w:r>
    </w:p>
    <w:p>
      <w:pPr>
        <w:pStyle w:val="FirstParagraph"/>
      </w:pPr>
      <w:r>
        <w:t xml:space="preserve">Fifteen cross-dimensional insights emerged. The following matrix ranks the top twelve by priority, effort, and expected impact.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Insight</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Compliance Win in 60 Seconds — demo classification within one minute of signup</w:t>
            </w:r>
            <w:r>
              <w:t xml:space="preserve"> </w:t>
            </w:r>
            <w:fldSimple w:instr="NOTEREF _Ref_Footnote_1 \h \f">
              <w:r>
                <w:rPr>
                  <w:vertAlign w:val="superscript"/>
                </w:rPr>
                <w:t>1</w:t>
              </w:r>
            </w:fldSimple>
          </w:p>
        </w:tc>
        <w:tc>
          <w:tcPr/>
          <w:p>
            <w:pPr>
              <w:pStyle w:val="Compact"/>
              <w:jc w:val="left"/>
            </w:pPr>
            <w:r>
              <w:t xml:space="preserve">Medium</w:t>
            </w:r>
          </w:p>
        </w:tc>
        <w:tc>
          <w:tcPr/>
          <w:p>
            <w:pPr>
              <w:pStyle w:val="Compact"/>
              <w:jc w:val="left"/>
            </w:pPr>
            <w:r>
              <w:t xml:space="preserve">Transformative</w:t>
            </w:r>
          </w:p>
        </w:tc>
      </w:tr>
      <w:tr>
        <w:tc>
          <w:tcPr/>
          <w:p>
            <w:pPr>
              <w:pStyle w:val="Compact"/>
              <w:jc w:val="left"/>
            </w:pPr>
            <w:r>
              <w:t xml:space="preserve">P0</w:t>
            </w:r>
          </w:p>
        </w:tc>
        <w:tc>
          <w:tcPr/>
          <w:p>
            <w:pPr>
              <w:pStyle w:val="Compact"/>
              <w:jc w:val="left"/>
            </w:pPr>
            <w:r>
              <w:t xml:space="preserve">Security UX as Delight — passkeys, HMAC signing, local mode as visible trust signals</w:t>
            </w:r>
            <w:r>
              <w:t xml:space="preserve"> </w:t>
            </w:r>
            <w:fldSimple w:instr="NOTEREF _Ref_Footnote_4 \h \f">
              <w:r>
                <w:rPr>
                  <w:vertAlign w:val="superscript"/>
                </w:rPr>
                <w:t>4</w:t>
              </w:r>
            </w:fldSimple>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P0</w:t>
            </w:r>
          </w:p>
        </w:tc>
        <w:tc>
          <w:tcPr/>
          <w:p>
            <w:pPr>
              <w:pStyle w:val="Compact"/>
              <w:jc w:val="left"/>
            </w:pPr>
            <w:r>
              <w:t xml:space="preserve">Streaming is Non-Negotiable — silence during AI operation destroys trust</w:t>
            </w:r>
            <w:r>
              <w:t xml:space="preserve"> </w:t>
            </w:r>
            <w:fldSimple w:instr="NOTEREF _Ref_Footnote_5 \h \f">
              <w:r>
                <w:rPr>
                  <w:vertAlign w:val="superscript"/>
                </w:rPr>
                <w:t>5</w:t>
              </w:r>
            </w:fldSimple>
          </w:p>
        </w:tc>
        <w:tc>
          <w:tcPr/>
          <w:p>
            <w:pPr>
              <w:pStyle w:val="Compact"/>
              <w:jc w:val="left"/>
            </w:pPr>
            <w:r>
              <w:t xml:space="preserve">Medium</w:t>
            </w:r>
          </w:p>
        </w:tc>
        <w:tc>
          <w:tcPr/>
          <w:p>
            <w:pPr>
              <w:pStyle w:val="Compact"/>
              <w:jc w:val="left"/>
            </w:pPr>
            <w:r>
              <w:t xml:space="preserve">Critical</w:t>
            </w:r>
          </w:p>
        </w:tc>
      </w:tr>
      <w:tr>
        <w:tc>
          <w:tcPr/>
          <w:p>
            <w:pPr>
              <w:pStyle w:val="Compact"/>
              <w:jc w:val="left"/>
            </w:pPr>
            <w:r>
              <w:t xml:space="preserve">P1</w:t>
            </w:r>
          </w:p>
        </w:tc>
        <w:tc>
          <w:tcPr/>
          <w:p>
            <w:pPr>
              <w:pStyle w:val="Compact"/>
              <w:jc w:val="left"/>
            </w:pPr>
            <w:r>
              <w:t xml:space="preserve">Recipe as Conversation Starter — integrate 36 recipes into AI assistant via CMD+K</w:t>
            </w:r>
            <w:r>
              <w:t xml:space="preserve"> </w:t>
            </w:r>
            <w:r>
              <w:rPr>
                <w:vertAlign w:val="superscript"/>
              </w:rPr>
              <w:footnoteReference w:id="9"/>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P1</w:t>
            </w:r>
          </w:p>
        </w:tc>
        <w:tc>
          <w:tcPr/>
          <w:p>
            <w:pPr>
              <w:pStyle w:val="Compact"/>
              <w:jc w:val="left"/>
            </w:pPr>
            <w:r>
              <w:t xml:space="preserve">Autonomy Anxiety Spectrum — progressive 4-level autonomy dial defaults to maximum human control</w:t>
            </w:r>
            <w:r>
              <w:t xml:space="preserve"> </w:t>
            </w:r>
            <w:fldSimple w:instr="NOTEREF _Ref_Footnote_9 \h \f">
              <w:r>
                <w:rPr>
                  <w:vertAlign w:val="superscript"/>
                </w:rPr>
                <w:t>9</w:t>
              </w:r>
            </w:fldSimple>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P1</w:t>
            </w:r>
          </w:p>
        </w:tc>
        <w:tc>
          <w:tcPr/>
          <w:p>
            <w:pPr>
              <w:pStyle w:val="Compact"/>
              <w:jc w:val="left"/>
            </w:pPr>
            <w:r>
              <w:t xml:space="preserve">CLI+Web Hybrid Moat — no competitor offers both powerful CLI and polished web UI</w:t>
            </w:r>
            <w:r>
              <w:t xml:space="preserve"> </w:t>
            </w:r>
            <w:r>
              <w:rPr>
                <w:vertAlign w:val="superscript"/>
              </w:rPr>
              <w:footnoteReference w:id="10"/>
            </w:r>
          </w:p>
        </w:tc>
        <w:tc>
          <w:tcPr/>
          <w:p>
            <w:pPr>
              <w:pStyle w:val="Compact"/>
              <w:jc w:val="left"/>
            </w:pPr>
            <w:r>
              <w:t xml:space="preserve">Medium</w:t>
            </w:r>
          </w:p>
        </w:tc>
        <w:tc>
          <w:tcPr/>
          <w:p>
            <w:pPr>
              <w:pStyle w:val="Compact"/>
              <w:jc w:val="left"/>
            </w:pPr>
            <w:r>
              <w:t xml:space="preserve">Differentiating</w:t>
            </w:r>
          </w:p>
        </w:tc>
      </w:tr>
      <w:tr>
        <w:tc>
          <w:tcPr/>
          <w:p>
            <w:pPr>
              <w:pStyle w:val="Compact"/>
              <w:jc w:val="left"/>
            </w:pPr>
            <w:r>
              <w:t xml:space="preserve">P2</w:t>
            </w:r>
          </w:p>
        </w:tc>
        <w:tc>
          <w:tcPr/>
          <w:p>
            <w:pPr>
              <w:pStyle w:val="Compact"/>
              <w:jc w:val="left"/>
            </w:pPr>
            <w:r>
              <w:t xml:space="preserve">Evidence as Currency — output-oriented UX measuring audit readiness, not feature usage</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P2</w:t>
            </w:r>
          </w:p>
        </w:tc>
        <w:tc>
          <w:tcPr/>
          <w:p>
            <w:pPr>
              <w:pStyle w:val="Compact"/>
              <w:jc w:val="left"/>
            </w:pPr>
            <w:r>
              <w:t xml:space="preserve">Progressive Trust Onboarding — 4-step trust sequence from security trust to AI delegation</w:t>
            </w:r>
            <w:r>
              <w:t xml:space="preserve"> </w:t>
            </w:r>
            <w:fldSimple w:instr="NOTEREF _Ref_Footnote_7 \h \f">
              <w:r>
                <w:rPr>
                  <w:vertAlign w:val="superscript"/>
                </w:rPr>
                <w:t>7</w:t>
              </w:r>
            </w:fldSimple>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P2</w:t>
            </w:r>
          </w:p>
        </w:tc>
        <w:tc>
          <w:tcPr/>
          <w:p>
            <w:pPr>
              <w:pStyle w:val="Compact"/>
              <w:jc w:val="left"/>
            </w:pPr>
            <w:r>
              <w:t xml:space="preserve">Local-LLM Zero-Cost Moat — $0 inference removes usage anxiety and drives viral adoption</w:t>
            </w:r>
            <w:r>
              <w:t xml:space="preserve"> </w:t>
            </w:r>
            <w:fldSimple w:instr="NOTEREF _Ref_Footnote_2 \h \f">
              <w:r>
                <w:rPr>
                  <w:vertAlign w:val="superscript"/>
                </w:rPr>
                <w:t>2</w:t>
              </w:r>
            </w:fldSimple>
          </w:p>
        </w:tc>
        <w:tc>
          <w:tcPr/>
          <w:p>
            <w:pPr>
              <w:pStyle w:val="Compact"/>
              <w:jc w:val="left"/>
            </w:pPr>
            <w:r>
              <w:t xml:space="preserve">Low</w:t>
            </w:r>
          </w:p>
        </w:tc>
        <w:tc>
          <w:tcPr/>
          <w:p>
            <w:pPr>
              <w:pStyle w:val="Compact"/>
              <w:jc w:val="left"/>
            </w:pPr>
            <w:r>
              <w:t xml:space="preserve">Growth</w:t>
            </w:r>
          </w:p>
        </w:tc>
      </w:tr>
      <w:tr>
        <w:tc>
          <w:tcPr/>
          <w:p>
            <w:pPr>
              <w:pStyle w:val="Compact"/>
              <w:jc w:val="left"/>
            </w:pPr>
            <w:r>
              <w:t xml:space="preserve">P3</w:t>
            </w:r>
          </w:p>
        </w:tc>
        <w:tc>
          <w:tcPr/>
          <w:p>
            <w:pPr>
              <w:pStyle w:val="Compact"/>
              <w:jc w:val="left"/>
            </w:pPr>
            <w:r>
              <w:t xml:space="preserve">Feedback Loop Engine — AI visibly learns from user corrections</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P3</w:t>
            </w:r>
          </w:p>
        </w:tc>
        <w:tc>
          <w:tcPr/>
          <w:p>
            <w:pPr>
              <w:pStyle w:val="Compact"/>
              <w:jc w:val="left"/>
            </w:pPr>
            <w:r>
              <w:t xml:space="preserve">Resilience Premium — well-handled errors increase loyalty beyond flawless execution</w:t>
            </w:r>
            <w:r>
              <w:t xml:space="preserve"> </w:t>
            </w:r>
            <w:fldSimple w:instr="NOTEREF _Ref_Footnote_8 \h \f">
              <w:r>
                <w:rPr>
                  <w:vertAlign w:val="superscript"/>
                </w:rPr>
                <w:t>8</w:t>
              </w:r>
            </w:fldSimple>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P3</w:t>
            </w:r>
          </w:p>
        </w:tc>
        <w:tc>
          <w:tcPr/>
          <w:p>
            <w:pPr>
              <w:pStyle w:val="Compact"/>
              <w:jc w:val="left"/>
            </w:pPr>
            <w:r>
              <w:t xml:space="preserve">Compliance Network Effect — team workspaces create value amplification per additional user</w:t>
            </w:r>
          </w:p>
        </w:tc>
        <w:tc>
          <w:tcPr/>
          <w:p>
            <w:pPr>
              <w:pStyle w:val="Compact"/>
              <w:jc w:val="left"/>
            </w:pPr>
            <w:r>
              <w:t xml:space="preserve">High</w:t>
            </w:r>
          </w:p>
        </w:tc>
        <w:tc>
          <w:tcPr/>
          <w:p>
            <w:pPr>
              <w:pStyle w:val="Compact"/>
              <w:jc w:val="left"/>
            </w:pPr>
            <w:r>
              <w:t xml:space="preserve">Long-term</w:t>
            </w:r>
          </w:p>
        </w:tc>
      </w:tr>
    </w:tbl>
    <w:p>
      <w:pPr>
        <w:pStyle w:val="BodyText"/>
      </w:pPr>
      <w:r>
        <w:rPr>
          <w:iCs/>
          <w:i/>
        </w:rPr>
        <w:t xml:space="preserve">Table 1: Insight Priority Matrix — P0 insights are non-negotiable for launch; P1 are high-return differentiators; P2–P3 are growth and refinement mechanisms. Impact assessments reflect potential effect on satisfaction, retention, or competitive position.</w:t>
      </w:r>
    </w:p>
    <w:p>
      <w:pPr>
        <w:pStyle w:val="BodyText"/>
      </w:pPr>
      <w:r>
        <w:t xml:space="preserve">The P0 insights each address a direct churn driver: the 60-second activation window solves the industry-wide time-to-value crisis; security UX as delight converts compliance into a competitive moat; and streaming eliminates silence that users interpret as failure. The P1 insights represent sustainable advantages: the autonomy dial has converged across every major AI product because users who experience one AI failure without recourse abandon the agent entirely</w:t>
      </w:r>
      <w:r>
        <w:t xml:space="preserve"> </w:t>
      </w:r>
      <w:fldSimple w:instr="NOTEREF _Ref_Footnote_9 \h \f">
        <w:r>
          <w:rPr>
            <w:vertAlign w:val="superscript"/>
          </w:rPr>
          <w:t>9</w:t>
        </w:r>
      </w:fldSimple>
      <w:r>
        <w:t xml:space="preserve">.</w:t>
      </w:r>
    </w:p>
    <w:bookmarkEnd w:id="21"/>
    <w:bookmarkStart w:id="22" w:name="high-confidence-findings"/>
    <w:p>
      <w:pPr>
        <w:pStyle w:val="Heading3"/>
      </w:pPr>
      <w:r>
        <w:t xml:space="preserve">High-Confidence Findings</w:t>
      </w:r>
    </w:p>
    <w:p>
      <w:pPr>
        <w:pStyle w:val="FirstParagraph"/>
      </w:pPr>
      <w:r>
        <w:t xml:space="preserve">Ten findings achieved high-confidence status through cross-dimensional verification from two or more independent sources.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Key Evidence</w:t>
            </w:r>
          </w:p>
        </w:tc>
        <w:tc>
          <w:tcPr/>
          <w:p>
            <w:pPr>
              <w:pStyle w:val="Compact"/>
              <w:jc w:val="left"/>
            </w:pPr>
            <w:r>
              <w:t xml:space="preserve">CRP Comply Action</w:t>
            </w:r>
          </w:p>
        </w:tc>
      </w:tr>
      <w:tr>
        <w:tc>
          <w:tcPr/>
          <w:p>
            <w:pPr>
              <w:pStyle w:val="Compact"/>
              <w:jc w:val="left"/>
            </w:pPr>
            <w:r>
              <w:t xml:space="preserve">HC-1</w:t>
            </w:r>
          </w:p>
        </w:tc>
        <w:tc>
          <w:tcPr/>
          <w:p>
            <w:pPr>
              <w:pStyle w:val="Compact"/>
              <w:jc w:val="left"/>
            </w:pPr>
            <w:r>
              <w:t xml:space="preserve">Progressive autonomy disclosure is the dominant AI agent UX pattern</w:t>
            </w:r>
          </w:p>
        </w:tc>
        <w:tc>
          <w:tcPr/>
          <w:p>
            <w:pPr>
              <w:pStyle w:val="Compact"/>
              <w:jc w:val="left"/>
            </w:pPr>
            <w:r>
              <w:t xml:space="preserve">Dim06, Dim01, Wide06 confirm; Claude Code, Cursor, Copilot, Replit converged on dial</w:t>
            </w:r>
            <w:r>
              <w:t xml:space="preserve"> </w:t>
            </w:r>
            <w:fldSimple w:instr="NOTEREF _Ref_Footnote_9 \h \f">
              <w:r>
                <w:rPr>
                  <w:vertAlign w:val="superscript"/>
                </w:rPr>
                <w:t>9</w:t>
              </w:r>
            </w:fldSimple>
          </w:p>
        </w:tc>
        <w:tc>
          <w:tcPr/>
          <w:p>
            <w:pPr>
              <w:pStyle w:val="Compact"/>
              <w:jc w:val="left"/>
            </w:pPr>
            <w:r>
              <w:t xml:space="preserve">4-mode autonomy dial (Suggest / Draft / Autonomous with Checkpoints / Full Autonomy)</w:t>
            </w:r>
          </w:p>
        </w:tc>
      </w:tr>
      <w:tr>
        <w:tc>
          <w:tcPr/>
          <w:p>
            <w:pPr>
              <w:pStyle w:val="Compact"/>
              <w:jc w:val="left"/>
            </w:pPr>
            <w:r>
              <w:t xml:space="preserve">HC-2</w:t>
            </w:r>
          </w:p>
        </w:tc>
        <w:tc>
          <w:tcPr/>
          <w:p>
            <w:pPr>
              <w:pStyle w:val="Compact"/>
              <w:jc w:val="left"/>
            </w:pPr>
            <w:r>
              <w:t xml:space="preserve">SSE is optimal for one-way AI streaming</w:t>
            </w:r>
          </w:p>
        </w:tc>
        <w:tc>
          <w:tcPr/>
          <w:p>
            <w:pPr>
              <w:pStyle w:val="Compact"/>
              <w:jc w:val="left"/>
            </w:pPr>
            <w:r>
              <w:t xml:space="preserve">Dim02, Dim03 confirm; auto-reconnect, HTTP/2, first-chunk pattern</w:t>
            </w:r>
            <w:r>
              <w:t xml:space="preserve"> </w:t>
            </w:r>
            <w:r>
              <w:rPr>
                <w:vertAlign w:val="superscript"/>
              </w:rPr>
              <w:footnoteReference w:id="11"/>
            </w:r>
          </w:p>
        </w:tc>
        <w:tc>
          <w:tcPr/>
          <w:p>
            <w:pPr>
              <w:pStyle w:val="Compact"/>
              <w:jc w:val="left"/>
            </w:pPr>
            <w:r>
              <w:t xml:space="preserve">SSE for all AI streaming; implement first-chunk transition</w:t>
            </w:r>
          </w:p>
        </w:tc>
      </w:tr>
      <w:tr>
        <w:tc>
          <w:tcPr/>
          <w:p>
            <w:pPr>
              <w:pStyle w:val="Compact"/>
              <w:jc w:val="left"/>
            </w:pPr>
            <w:r>
              <w:t xml:space="preserve">HC-3</w:t>
            </w:r>
          </w:p>
        </w:tc>
        <w:tc>
          <w:tcPr/>
          <w:p>
            <w:pPr>
              <w:pStyle w:val="Compact"/>
              <w:jc w:val="left"/>
            </w:pPr>
            <w:r>
              <w:t xml:space="preserve">Passkeys deliver superior UX and security</w:t>
            </w:r>
          </w:p>
        </w:tc>
        <w:tc>
          <w:tcPr/>
          <w:p>
            <w:pPr>
              <w:pStyle w:val="Compact"/>
              <w:jc w:val="left"/>
            </w:pPr>
            <w:r>
              <w:t xml:space="preserve">8-14x faster than password+MFA; 98% success vs 32%</w:t>
            </w:r>
            <w:r>
              <w:t xml:space="preserve"> </w:t>
            </w:r>
            <w:fldSimple w:instr="NOTEREF _Ref_Footnote_4 \h \f">
              <w:r>
                <w:rPr>
                  <w:vertAlign w:val="superscript"/>
                </w:rPr>
                <w:t>4</w:t>
              </w:r>
            </w:fldSimple>
          </w:p>
        </w:tc>
        <w:tc>
          <w:tcPr/>
          <w:p>
            <w:pPr>
              <w:pStyle w:val="Compact"/>
              <w:jc w:val="left"/>
            </w:pPr>
            <w:r>
              <w:t xml:space="preserve">Maintain passkey-first; add progressive enrollment</w:t>
            </w:r>
          </w:p>
        </w:tc>
      </w:tr>
      <w:tr>
        <w:tc>
          <w:tcPr/>
          <w:p>
            <w:pPr>
              <w:pStyle w:val="Compact"/>
              <w:jc w:val="left"/>
            </w:pPr>
            <w:r>
              <w:t xml:space="preserve">HC-4</w:t>
            </w:r>
          </w:p>
        </w:tc>
        <w:tc>
          <w:tcPr/>
          <w:p>
            <w:pPr>
              <w:pStyle w:val="Compact"/>
              <w:jc w:val="left"/>
            </w:pPr>
            <w:r>
              <w:t xml:space="preserve">Perceived performance drives 67% of satisfaction</w:t>
            </w:r>
          </w:p>
        </w:tc>
        <w:tc>
          <w:tcPr/>
          <w:p>
            <w:pPr>
              <w:pStyle w:val="Compact"/>
              <w:jc w:val="left"/>
            </w:pPr>
            <w:r>
              <w:t xml:space="preserve">Dim01, Dim08 confirm; skeleton screens reduce bounce 9–20%</w:t>
            </w:r>
            <w:r>
              <w:t xml:space="preserve"> </w:t>
            </w:r>
            <w:fldSimple w:instr="NOTEREF _Ref_Footnote_5 \h \f">
              <w:r>
                <w:rPr>
                  <w:vertAlign w:val="superscript"/>
                </w:rPr>
                <w:t>5</w:t>
              </w:r>
            </w:fldSimple>
            <w:r>
              <w:t xml:space="preserve"> </w:t>
            </w:r>
            <w:r>
              <w:rPr>
                <w:vertAlign w:val="superscript"/>
              </w:rPr>
              <w:footnoteReference w:id="12"/>
            </w:r>
          </w:p>
        </w:tc>
        <w:tc>
          <w:tcPr/>
          <w:p>
            <w:pPr>
              <w:pStyle w:val="Compact"/>
              <w:jc w:val="left"/>
            </w:pPr>
            <w:r>
              <w:t xml:space="preserve">Skeleton screens for all data-fetching UI; optimistic UI for all actions</w:t>
            </w:r>
          </w:p>
        </w:tc>
      </w:tr>
      <w:tr>
        <w:tc>
          <w:tcPr/>
          <w:p>
            <w:pPr>
              <w:pStyle w:val="Compact"/>
              <w:jc w:val="left"/>
            </w:pPr>
            <w:r>
              <w:t xml:space="preserve">HC-5</w:t>
            </w:r>
          </w:p>
        </w:tc>
        <w:tc>
          <w:tcPr/>
          <w:p>
            <w:pPr>
              <w:pStyle w:val="Compact"/>
              <w:jc w:val="left"/>
            </w:pPr>
            <w:r>
              <w:t xml:space="preserve">TanStack Query + Zustand is 2025 React consensus</w:t>
            </w:r>
          </w:p>
        </w:tc>
        <w:tc>
          <w:tcPr/>
          <w:p>
            <w:pPr>
              <w:pStyle w:val="Compact"/>
              <w:jc w:val="left"/>
            </w:pPr>
            <w:r>
              <w:t xml:space="preserve">Dim02, Dim03 confirm; Zustand 35 ms vs Redux 65 ms</w:t>
            </w:r>
          </w:p>
        </w:tc>
        <w:tc>
          <w:tcPr/>
          <w:p>
            <w:pPr>
              <w:pStyle w:val="Compact"/>
              <w:jc w:val="left"/>
            </w:pPr>
            <w:r>
              <w:t xml:space="preserve">Adopt for all data fetching and client state</w:t>
            </w:r>
          </w:p>
        </w:tc>
      </w:tr>
      <w:tr>
        <w:tc>
          <w:tcPr/>
          <w:p>
            <w:pPr>
              <w:pStyle w:val="Compact"/>
              <w:jc w:val="left"/>
            </w:pPr>
            <w:r>
              <w:t xml:space="preserve">HC-6</w:t>
            </w:r>
          </w:p>
        </w:tc>
        <w:tc>
          <w:tcPr/>
          <w:p>
            <w:pPr>
              <w:pStyle w:val="Compact"/>
              <w:jc w:val="left"/>
            </w:pPr>
            <w:r>
              <w:t xml:space="preserve">Time-to-value is the #1 retention driver</w:t>
            </w:r>
          </w:p>
        </w:tc>
        <w:tc>
          <w:tcPr/>
          <w:p>
            <w:pPr>
              <w:pStyle w:val="Compact"/>
              <w:jc w:val="left"/>
            </w:pPr>
            <w:r>
              <w:t xml:space="preserve">Dim11, Dim07 confirm; 20% TTV reduction = 15% retention boost</w:t>
            </w:r>
            <w:r>
              <w:t xml:space="preserve"> </w:t>
            </w:r>
            <w:r>
              <w:rPr>
                <w:vertAlign w:val="superscript"/>
              </w:rPr>
              <w:footnoteReference w:id="13"/>
            </w:r>
          </w:p>
        </w:tc>
        <w:tc>
          <w:tcPr/>
          <w:p>
            <w:pPr>
              <w:pStyle w:val="Compact"/>
              <w:jc w:val="left"/>
            </w:pPr>
            <w:r>
              <w:t xml:space="preserve">60-second first-run: passkey → 3 questions → demo classification → confetti</w:t>
            </w:r>
          </w:p>
        </w:tc>
      </w:tr>
      <w:tr>
        <w:tc>
          <w:tcPr/>
          <w:p>
            <w:pPr>
              <w:pStyle w:val="Compact"/>
              <w:jc w:val="left"/>
            </w:pPr>
            <w:r>
              <w:t xml:space="preserve">HC-7</w:t>
            </w:r>
          </w:p>
        </w:tc>
        <w:tc>
          <w:tcPr/>
          <w:p>
            <w:pPr>
              <w:pStyle w:val="Compact"/>
              <w:jc w:val="left"/>
            </w:pPr>
            <w:r>
              <w:t xml:space="preserve">Intent Preview + explainable rationale builds AI trust</w:t>
            </w:r>
          </w:p>
        </w:tc>
        <w:tc>
          <w:tcPr/>
          <w:p>
            <w:pPr>
              <w:pStyle w:val="Compact"/>
              <w:jc w:val="left"/>
            </w:pPr>
            <w:r>
              <w:t xml:space="preserve">Dim06, Dim12 confirm; &gt;85% acceptance rate target</w:t>
            </w:r>
          </w:p>
        </w:tc>
        <w:tc>
          <w:tcPr/>
          <w:p>
            <w:pPr>
              <w:pStyle w:val="Compact"/>
              <w:jc w:val="left"/>
            </w:pPr>
            <w:r>
              <w:t xml:space="preserve">Show plan before generation; always cite regulation sources</w:t>
            </w:r>
          </w:p>
        </w:tc>
      </w:tr>
      <w:tr>
        <w:tc>
          <w:tcPr/>
          <w:p>
            <w:pPr>
              <w:pStyle w:val="Compact"/>
              <w:jc w:val="left"/>
            </w:pPr>
            <w:r>
              <w:t xml:space="preserve">HC-8</w:t>
            </w:r>
          </w:p>
        </w:tc>
        <w:tc>
          <w:tcPr/>
          <w:p>
            <w:pPr>
              <w:pStyle w:val="Compact"/>
              <w:jc w:val="left"/>
            </w:pPr>
            <w:r>
              <w:t xml:space="preserve">Feature flags enable gradual rollout and kill switches</w:t>
            </w:r>
          </w:p>
        </w:tc>
        <w:tc>
          <w:tcPr/>
          <w:p>
            <w:pPr>
              <w:pStyle w:val="Compact"/>
              <w:jc w:val="left"/>
            </w:pPr>
            <w:r>
              <w:t xml:space="preserve">Dim05, Dim03, Dim10 confirm</w:t>
            </w:r>
            <w:r>
              <w:t xml:space="preserve"> </w:t>
            </w:r>
            <w:r>
              <w:rPr>
                <w:vertAlign w:val="superscript"/>
              </w:rPr>
              <w:footnoteReference w:id="14"/>
            </w:r>
          </w:p>
        </w:tc>
        <w:tc>
          <w:tcPr/>
          <w:p>
            <w:pPr>
              <w:pStyle w:val="Compact"/>
              <w:jc w:val="left"/>
            </w:pPr>
            <w:r>
              <w:t xml:space="preserve">Per-tenant feature flags for all AI capabilities</w:t>
            </w:r>
          </w:p>
        </w:tc>
      </w:tr>
      <w:tr>
        <w:tc>
          <w:tcPr/>
          <w:p>
            <w:pPr>
              <w:pStyle w:val="Compact"/>
              <w:jc w:val="left"/>
            </w:pPr>
            <w:r>
              <w:t xml:space="preserve">HC-9</w:t>
            </w:r>
          </w:p>
        </w:tc>
        <w:tc>
          <w:tcPr/>
          <w:p>
            <w:pPr>
              <w:pStyle w:val="Compact"/>
              <w:jc w:val="left"/>
            </w:pPr>
            <w:r>
              <w:t xml:space="preserve">Multi-tenancy requires tiered isolation</w:t>
            </w:r>
          </w:p>
        </w:tc>
        <w:tc>
          <w:tcPr/>
          <w:p>
            <w:pPr>
              <w:pStyle w:val="Compact"/>
              <w:jc w:val="left"/>
            </w:pPr>
            <w:r>
              <w:t xml:space="preserve">Dim03, Dim04, Dim10 confirm</w:t>
            </w:r>
          </w:p>
        </w:tc>
        <w:tc>
          <w:tcPr/>
          <w:p>
            <w:pPr>
              <w:pStyle w:val="Compact"/>
              <w:jc w:val="left"/>
            </w:pPr>
            <w:r>
              <w:t xml:space="preserve">RLS + schema-per-tenant + DB-per-tenant matching pricing tiers</w:t>
            </w:r>
          </w:p>
        </w:tc>
      </w:tr>
      <w:tr>
        <w:tc>
          <w:tcPr/>
          <w:p>
            <w:pPr>
              <w:pStyle w:val="Compact"/>
              <w:jc w:val="left"/>
            </w:pPr>
            <w:r>
              <w:t xml:space="preserve">HC-10</w:t>
            </w:r>
          </w:p>
        </w:tc>
        <w:tc>
          <w:tcPr/>
          <w:p>
            <w:pPr>
              <w:pStyle w:val="Compact"/>
              <w:jc w:val="left"/>
            </w:pPr>
            <w:r>
              <w:t xml:space="preserve">CMD+K command palette is table stakes for power users</w:t>
            </w:r>
          </w:p>
        </w:tc>
        <w:tc>
          <w:tcPr/>
          <w:p>
            <w:pPr>
              <w:pStyle w:val="Compact"/>
              <w:jc w:val="left"/>
            </w:pPr>
            <w:r>
              <w:t xml:space="preserve">Dim09, Dim08 confirm; filters 1,000 commands in &lt;5 ms</w:t>
            </w:r>
            <w:r>
              <w:t xml:space="preserve"> </w:t>
            </w:r>
            <w:r>
              <w:rPr>
                <w:vertAlign w:val="superscript"/>
              </w:rPr>
              <w:footnoteReference w:id="15"/>
            </w:r>
          </w:p>
        </w:tc>
        <w:tc>
          <w:tcPr/>
          <w:p>
            <w:pPr>
              <w:pStyle w:val="Compact"/>
              <w:jc w:val="left"/>
            </w:pPr>
            <w:r>
              <w:t xml:space="preserve">cmdk with fuzzy search for recipes, vault, settings, CLI mapping</w:t>
            </w:r>
          </w:p>
        </w:tc>
      </w:tr>
    </w:tbl>
    <w:p>
      <w:pPr>
        <w:pStyle w:val="BodyText"/>
      </w:pPr>
      <w:r>
        <w:rPr>
          <w:iCs/>
          <w:i/>
        </w:rPr>
        <w:t xml:space="preserve">Table 2: High-Confidence Findings Summary — each finding includes a direct, implementable action for CRP Comply.</w:t>
      </w:r>
    </w:p>
    <w:bookmarkEnd w:id="22"/>
    <w:bookmarkStart w:id="23" w:name="competitive-position"/>
    <w:p>
      <w:pPr>
        <w:pStyle w:val="Heading3"/>
      </w:pPr>
      <w:r>
        <w:t xml:space="preserve">Competitive Position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Drata</w:t>
            </w:r>
          </w:p>
        </w:tc>
        <w:tc>
          <w:tcPr/>
          <w:p>
            <w:pPr>
              <w:pStyle w:val="Compact"/>
              <w:jc w:val="left"/>
            </w:pPr>
            <w:r>
              <w:t xml:space="preserve">Vanta</w:t>
            </w:r>
          </w:p>
        </w:tc>
        <w:tc>
          <w:tcPr/>
          <w:p>
            <w:pPr>
              <w:pStyle w:val="Compact"/>
              <w:jc w:val="left"/>
            </w:pPr>
            <w:r>
              <w:t xml:space="preserve">Secureframe</w:t>
            </w:r>
          </w:p>
        </w:tc>
        <w:tc>
          <w:tcPr/>
          <w:p>
            <w:pPr>
              <w:pStyle w:val="Compact"/>
              <w:jc w:val="left"/>
            </w:pPr>
            <w:r>
              <w:t xml:space="preserve">Sprinto</w:t>
            </w:r>
          </w:p>
        </w:tc>
        <w:tc>
          <w:tcPr/>
          <w:p>
            <w:pPr>
              <w:pStyle w:val="Compact"/>
              <w:jc w:val="left"/>
            </w:pPr>
            <w:r>
              <w:t xml:space="preserve">CRP Comply</w:t>
            </w:r>
          </w:p>
        </w:tc>
      </w:tr>
      <w:tr>
        <w:tc>
          <w:tcPr/>
          <w:p>
            <w:pPr>
              <w:pStyle w:val="Compact"/>
              <w:jc w:val="left"/>
            </w:pPr>
            <w:r>
              <w:t xml:space="preserve">G2 Rating</w:t>
            </w:r>
          </w:p>
        </w:tc>
        <w:tc>
          <w:tcPr/>
          <w:p>
            <w:pPr>
              <w:pStyle w:val="Compact"/>
              <w:jc w:val="left"/>
            </w:pPr>
            <w:r>
              <w:t xml:space="preserve">4.8/5</w:t>
            </w:r>
            <w:r>
              <w:t xml:space="preserve"> </w:t>
            </w:r>
            <w:fldSimple w:instr="NOTEREF _Ref_Footnote_10 \h \f">
              <w:r>
                <w:rPr>
                  <w:vertAlign w:val="superscript"/>
                </w:rPr>
                <w:t>10</w:t>
              </w:r>
            </w:fldSimple>
          </w:p>
        </w:tc>
        <w:tc>
          <w:tcPr/>
          <w:p>
            <w:pPr>
              <w:pStyle w:val="Compact"/>
              <w:jc w:val="left"/>
            </w:pPr>
            <w:r>
              <w:t xml:space="preserve">4.6/5</w:t>
            </w:r>
            <w:r>
              <w:t xml:space="preserve"> </w:t>
            </w:r>
            <w:r>
              <w:rPr>
                <w:vertAlign w:val="superscript"/>
              </w:rPr>
              <w:footnoteReference w:id="16"/>
            </w:r>
          </w:p>
        </w:tc>
        <w:tc>
          <w:tcPr/>
          <w:p>
            <w:pPr>
              <w:pStyle w:val="Compact"/>
              <w:jc w:val="left"/>
            </w:pPr>
            <w:r>
              <w:t xml:space="preserve">4.7/5</w:t>
            </w:r>
            <w:r>
              <w:t xml:space="preserve"> </w:t>
            </w:r>
            <w:r>
              <w:rPr>
                <w:vertAlign w:val="superscript"/>
              </w:rPr>
              <w:footnoteReference w:id="17"/>
            </w:r>
          </w:p>
        </w:tc>
        <w:tc>
          <w:tcPr/>
          <w:p>
            <w:pPr>
              <w:pStyle w:val="Compact"/>
              <w:jc w:val="left"/>
            </w:pPr>
            <w:r>
              <w:t xml:space="preserve">4.8/5</w:t>
            </w:r>
            <w:r>
              <w:t xml:space="preserve"> </w:t>
            </w:r>
            <w:r>
              <w:rPr>
                <w:vertAlign w:val="superscript"/>
              </w:rPr>
              <w:footnoteReference w:id="18"/>
            </w:r>
          </w:p>
        </w:tc>
        <w:tc>
          <w:tcPr/>
          <w:p>
            <w:pPr>
              <w:pStyle w:val="Compact"/>
              <w:jc w:val="left"/>
            </w:pPr>
            <w:r>
              <w:t xml:space="preserve">—</w:t>
            </w:r>
          </w:p>
        </w:tc>
      </w:tr>
      <w:tr>
        <w:tc>
          <w:tcPr/>
          <w:p>
            <w:pPr>
              <w:pStyle w:val="Compact"/>
              <w:jc w:val="left"/>
            </w:pPr>
            <w:r>
              <w:t xml:space="preserve">Time to First Value</w:t>
            </w:r>
          </w:p>
        </w:tc>
        <w:tc>
          <w:tcPr/>
          <w:p>
            <w:pPr>
              <w:pStyle w:val="Compact"/>
              <w:jc w:val="left"/>
            </w:pPr>
            <w:r>
              <w:t xml:space="preserve">4–12 weeks</w:t>
            </w:r>
            <w:r>
              <w:t xml:space="preserve"> </w:t>
            </w:r>
            <w:fldSimple w:instr="NOTEREF _Ref_Footnote_6 \h \f">
              <w:r>
                <w:rPr>
                  <w:vertAlign w:val="superscript"/>
                </w:rPr>
                <w:t>6</w:t>
              </w:r>
            </w:fldSimple>
          </w:p>
        </w:tc>
        <w:tc>
          <w:tcPr/>
          <w:p>
            <w:pPr>
              <w:pStyle w:val="Compact"/>
              <w:jc w:val="left"/>
            </w:pPr>
            <w:r>
              <w:t xml:space="preserve">8–12 weeks</w:t>
            </w:r>
            <w:r>
              <w:t xml:space="preserve"> </w:t>
            </w:r>
            <w:r>
              <w:rPr>
                <w:vertAlign w:val="superscript"/>
              </w:rPr>
              <w:footnoteReference w:id="19"/>
            </w:r>
          </w:p>
        </w:tc>
        <w:tc>
          <w:tcPr/>
          <w:p>
            <w:pPr>
              <w:pStyle w:val="Compact"/>
              <w:jc w:val="left"/>
            </w:pPr>
            <w:r>
              <w:t xml:space="preserve">6–10 weeks</w:t>
            </w:r>
            <w:r>
              <w:t xml:space="preserve"> </w:t>
            </w:r>
            <w:r>
              <w:rPr>
                <w:vertAlign w:val="superscript"/>
              </w:rPr>
              <w:footnoteReference w:id="20"/>
            </w:r>
          </w:p>
        </w:tc>
        <w:tc>
          <w:tcPr/>
          <w:p>
            <w:pPr>
              <w:pStyle w:val="Compact"/>
              <w:jc w:val="left"/>
            </w:pPr>
            <w:r>
              <w:t xml:space="preserve">8–12 weeks</w:t>
            </w:r>
            <w:r>
              <w:t xml:space="preserve"> </w:t>
            </w:r>
            <w:fldSimple w:instr="NOTEREF _Ref_Footnote_18 \h \f">
              <w:r>
                <w:rPr>
                  <w:vertAlign w:val="superscript"/>
                </w:rPr>
                <w:t>18</w:t>
              </w:r>
            </w:fldSimple>
          </w:p>
        </w:tc>
        <w:tc>
          <w:tcPr/>
          <w:p>
            <w:pPr>
              <w:pStyle w:val="Compact"/>
              <w:jc w:val="left"/>
            </w:pPr>
            <w:r>
              <w:rPr>
                <w:bCs/>
                <w:b/>
              </w:rPr>
              <w:t xml:space="preserve">~60 seconds</w:t>
            </w:r>
          </w:p>
        </w:tc>
      </w:tr>
      <w:tr>
        <w:tc>
          <w:tcPr/>
          <w:p>
            <w:pPr>
              <w:pStyle w:val="Compact"/>
              <w:jc w:val="left"/>
            </w:pPr>
            <w:r>
              <w:t xml:space="preserve">Starting Price (USD/year)</w:t>
            </w:r>
          </w:p>
        </w:tc>
        <w:tc>
          <w:tcPr/>
          <w:p>
            <w:pPr>
              <w:pStyle w:val="Compact"/>
              <w:jc w:val="left"/>
            </w:pPr>
            <w:r>
              <w:t xml:space="preserve">$7,500–$15,000</w:t>
            </w:r>
            <w:r>
              <w:t xml:space="preserve"> </w:t>
            </w:r>
            <w:fldSimple w:instr="NOTEREF _Ref_Footnote_6 \h \f">
              <w:r>
                <w:rPr>
                  <w:vertAlign w:val="superscript"/>
                </w:rPr>
                <w:t>6</w:t>
              </w:r>
            </w:fldSimple>
          </w:p>
        </w:tc>
        <w:tc>
          <w:tcPr/>
          <w:p>
            <w:pPr>
              <w:pStyle w:val="Compact"/>
              <w:jc w:val="left"/>
            </w:pPr>
            <w:r>
              <w:t xml:space="preserve">~$7,500</w:t>
            </w:r>
            <w:r>
              <w:t xml:space="preserve"> </w:t>
            </w:r>
            <w:r>
              <w:rPr>
                <w:vertAlign w:val="superscript"/>
              </w:rPr>
              <w:footnoteReference w:id="21"/>
            </w:r>
          </w:p>
        </w:tc>
        <w:tc>
          <w:tcPr/>
          <w:p>
            <w:pPr>
              <w:pStyle w:val="Compact"/>
              <w:jc w:val="left"/>
            </w:pPr>
            <w:r>
              <w:t xml:space="preserve">~$7,500</w:t>
            </w:r>
            <w:r>
              <w:t xml:space="preserve"> </w:t>
            </w:r>
            <w:fldSimple w:instr="NOTEREF _Ref_Footnote_21 \h \f">
              <w:r>
                <w:rPr>
                  <w:vertAlign w:val="superscript"/>
                </w:rPr>
                <w:t>21</w:t>
              </w:r>
            </w:fldSimple>
          </w:p>
        </w:tc>
        <w:tc>
          <w:tcPr/>
          <w:p>
            <w:pPr>
              <w:pStyle w:val="Compact"/>
              <w:jc w:val="left"/>
            </w:pPr>
            <w:r>
              <w:t xml:space="preserve">$4,000–$6,000</w:t>
            </w:r>
            <w:r>
              <w:t xml:space="preserve"> </w:t>
            </w:r>
            <w:fldSimple w:instr="NOTEREF _Ref_Footnote_18 \h \f">
              <w:r>
                <w:rPr>
                  <w:vertAlign w:val="superscript"/>
                </w:rPr>
                <w:t>18</w:t>
              </w:r>
            </w:fldSimple>
          </w:p>
        </w:tc>
        <w:tc>
          <w:tcPr/>
          <w:p>
            <w:pPr>
              <w:pStyle w:val="Compact"/>
              <w:jc w:val="left"/>
            </w:pPr>
            <w:r>
              <w:rPr>
                <w:bCs/>
                <w:b/>
              </w:rPr>
              <w:t xml:space="preserve">$0 / $49 / $499</w:t>
            </w:r>
          </w:p>
        </w:tc>
      </w:tr>
      <w:tr>
        <w:tc>
          <w:tcPr/>
          <w:p>
            <w:pPr>
              <w:pStyle w:val="Compact"/>
              <w:jc w:val="left"/>
            </w:pPr>
            <w:r>
              <w:t xml:space="preserve">Free Tier</w:t>
            </w:r>
          </w:p>
        </w:tc>
        <w:tc>
          <w:tcPr/>
          <w:p>
            <w:pPr>
              <w:pStyle w:val="Compact"/>
              <w:jc w:val="left"/>
            </w:pPr>
            <w:r>
              <w:t xml:space="preserve">None</w:t>
            </w:r>
            <w:r>
              <w:t xml:space="preserve"> </w:t>
            </w:r>
            <w:fldSimple w:instr="NOTEREF _Ref_Footnote_2 \h \f">
              <w:r>
                <w:rPr>
                  <w:vertAlign w:val="superscript"/>
                </w:rPr>
                <w:t>2</w:t>
              </w:r>
            </w:fldSimple>
          </w:p>
        </w:tc>
        <w:tc>
          <w:tcPr/>
          <w:p>
            <w:pPr>
              <w:pStyle w:val="Compact"/>
              <w:jc w:val="left"/>
            </w:pPr>
            <w:r>
              <w:t xml:space="preserve">None</w:t>
            </w:r>
            <w:r>
              <w:t xml:space="preserve"> </w:t>
            </w:r>
            <w:fldSimple w:instr="NOTEREF _Ref_Footnote_2 \h \f">
              <w:r>
                <w:rPr>
                  <w:vertAlign w:val="superscript"/>
                </w:rPr>
                <w:t>2</w:t>
              </w:r>
            </w:fldSimple>
          </w:p>
        </w:tc>
        <w:tc>
          <w:tcPr/>
          <w:p>
            <w:pPr>
              <w:pStyle w:val="Compact"/>
              <w:jc w:val="left"/>
            </w:pPr>
            <w:r>
              <w:t xml:space="preserve">None</w:t>
            </w:r>
          </w:p>
        </w:tc>
        <w:tc>
          <w:tcPr/>
          <w:p>
            <w:pPr>
              <w:pStyle w:val="Compact"/>
              <w:jc w:val="left"/>
            </w:pPr>
            <w:r>
              <w:t xml:space="preserve">None</w:t>
            </w:r>
          </w:p>
        </w:tc>
        <w:tc>
          <w:tcPr/>
          <w:p>
            <w:pPr>
              <w:pStyle w:val="Compact"/>
              <w:jc w:val="left"/>
            </w:pPr>
            <w:r>
              <w:rPr>
                <w:bCs/>
                <w:b/>
              </w:rPr>
              <w:t xml:space="preserve">100 calls/month + unlimited local</w:t>
            </w:r>
          </w:p>
        </w:tc>
      </w:tr>
      <w:tr>
        <w:tc>
          <w:tcPr/>
          <w:p>
            <w:pPr>
              <w:pStyle w:val="Compact"/>
              <w:jc w:val="left"/>
            </w:pPr>
            <w:r>
              <w:t xml:space="preserve">CLI Available</w:t>
            </w:r>
          </w:p>
        </w:tc>
        <w:tc>
          <w:tcPr/>
          <w:p>
            <w:pPr>
              <w:pStyle w:val="Compact"/>
              <w:jc w:val="left"/>
            </w:pPr>
            <w:r>
              <w:t xml:space="preserve">Unofficial only</w:t>
            </w:r>
            <w:r>
              <w:t xml:space="preserve"> </w:t>
            </w:r>
            <w:r>
              <w:rPr>
                <w:vertAlign w:val="superscript"/>
              </w:rPr>
              <w:footnoteReference w:id="22"/>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First-class CLI + Web UI</w:t>
            </w:r>
          </w:p>
        </w:tc>
      </w:tr>
      <w:tr>
        <w:tc>
          <w:tcPr/>
          <w:p>
            <w:pPr>
              <w:pStyle w:val="Compact"/>
              <w:jc w:val="left"/>
            </w:pPr>
            <w:r>
              <w:t xml:space="preserve">Local LLM Mode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 (zero inference cost)</w:t>
            </w:r>
          </w:p>
        </w:tc>
      </w:tr>
    </w:tbl>
    <w:p>
      <w:pPr>
        <w:pStyle w:val="BodyText"/>
      </w:pPr>
      <w:r>
        <w:rPr>
          <w:iCs/>
          <w:i/>
        </w:rPr>
        <w:t xml:space="preserve">Table 3: Competitive Position Summary — CRP Comply vs. five incumbents across time-to-value, pricing accessibility, and architectural differentiation. Data sourced from G2 and vendor documentation, mid-2025.</w:t>
      </w:r>
    </w:p>
    <w:p>
      <w:pPr>
        <w:pStyle w:val="BodyText"/>
      </w:pPr>
      <w:r>
        <w:t xml:space="preserve">Three structural opportunities emerge.</w:t>
      </w:r>
      <w:r>
        <w:t xml:space="preserve"> </w:t>
      </w:r>
      <w:r>
        <w:rPr>
          <w:bCs/>
          <w:b/>
        </w:rPr>
        <w:t xml:space="preserve">Pricing transparency</w:t>
      </w:r>
      <w:r>
        <w:t xml:space="preserve">: every incumbent hides pricing behind sales conversations</w:t>
      </w:r>
      <w:r>
        <w:t xml:space="preserve"> </w:t>
      </w:r>
      <w:fldSimple w:instr="NOTEREF _Ref_Footnote_6 \h \f">
        <w:r>
          <w:rPr>
            <w:vertAlign w:val="superscript"/>
          </w:rPr>
          <w:t>6</w:t>
        </w:r>
      </w:fldSimple>
      <w:r>
        <w:t xml:space="preserve">.</w:t>
      </w:r>
      <w:r>
        <w:t xml:space="preserve"> </w:t>
      </w:r>
      <w:r>
        <w:rPr>
          <w:bCs/>
          <w:b/>
        </w:rPr>
        <w:t xml:space="preserve">Time-to-value acceleration</w:t>
      </w:r>
      <w:r>
        <w:t xml:space="preserve">: no competitor achieves sub-four-week activation without consultants, leaving a 60× speed advantage</w:t>
      </w:r>
      <w:r>
        <w:t xml:space="preserve"> </w:t>
      </w:r>
      <w:r>
        <w:rPr>
          <w:vertAlign w:val="superscript"/>
        </w:rPr>
        <w:footnoteReference w:id="23"/>
      </w:r>
      <w:r>
        <w:t xml:space="preserve">.</w:t>
      </w:r>
      <w:r>
        <w:t xml:space="preserve"> </w:t>
      </w:r>
      <w:r>
        <w:rPr>
          <w:bCs/>
          <w:b/>
        </w:rPr>
        <w:t xml:space="preserve">Developer experience</w:t>
      </w:r>
      <w:r>
        <w:t xml:space="preserve">: compliance professionals increasingly have engineering backgrounds, yet no competitor provides a first-class CLI</w:t>
      </w:r>
      <w:r>
        <w:t xml:space="preserve"> </w:t>
      </w:r>
      <w:fldSimple w:instr="NOTEREF _Ref_Footnote_22 \h \f">
        <w:r>
          <w:rPr>
            <w:vertAlign w:val="superscript"/>
          </w:rPr>
          <w:t>22</w:t>
        </w:r>
      </w:fldSimple>
      <w:r>
        <w:t xml:space="preserve">.</w:t>
      </w:r>
    </w:p>
    <w:p>
      <w:pPr>
        <w:pStyle w:val="BodyText"/>
      </w:pPr>
      <w:r>
        <w:t xml:space="preserve">The chapters that follow translate each finding into architectural decisions and measurable outcomes, closing with a roadmap sequencing the fifteen insights across four implementation phases.</w:t>
      </w:r>
    </w:p>
    <w:p>
      <w:r>
        <w:pict>
          <v:rect style="width:0;height:1.5pt" o:hralign="center" o:hrstd="t" o:hr="t"/>
        </w:pict>
      </w:r>
    </w:p>
    <w:bookmarkEnd w:id="23"/>
    <w:bookmarkEnd w:id="24"/>
    <w:bookmarkStart w:id="33" w:name="X89dea46417a843769c3709902598c862b405669"/>
    <w:p>
      <w:pPr>
        <w:pStyle w:val="Heading2"/>
      </w:pPr>
      <w:r>
        <w:t xml:space="preserve">1. The Psychology of User Satisfaction &amp; Instant Gratification</w:t>
      </w:r>
    </w:p>
    <w:p>
      <w:pPr>
        <w:pStyle w:val="FirstParagraph"/>
      </w:pPr>
      <w:r>
        <w:t xml:space="preserve">Software users do not average every interaction. They remember the peak moment and the ending. They abandon tasks that overload working memory. They return to tools that deliver unpredictable but meaningful rewards. For CRP Comply — an AI compliance platform whose users navigate dense regulatory frameworks under time pressure — these behavioural patterns are the difference between a tool officers tolerate and one they reach for instinctively.</w:t>
      </w:r>
    </w:p>
    <w:bookmarkStart w:id="25" w:name="the-neuroscience-of-digital-delight"/>
    <w:p>
      <w:pPr>
        <w:pStyle w:val="Heading3"/>
      </w:pPr>
      <w:r>
        <w:t xml:space="preserve">1.1 The Neuroscience of Digital Delight</w:t>
      </w:r>
    </w:p>
    <w:p>
      <w:pPr>
        <w:pStyle w:val="FirstParagraph"/>
      </w:pPr>
      <w:r>
        <w:t xml:space="preserve">Neurologically, dopamine does not generate pleasure; it motivates the pursuit of rewards and drives goal-directed behaviour, operating alongside serotonin, oxytocin, norepinephrine, and endorphins that regulate mood, connection, excitement, and well-being</w:t>
      </w:r>
      <w:r>
        <w:t xml:space="preserve"> </w:t>
      </w:r>
      <w:r>
        <w:rPr>
          <w:vertAlign w:val="superscript"/>
        </w:rPr>
        <w:footnoteReference w:id="24"/>
      </w:r>
      <w:r>
        <w:t xml:space="preserve">. Zhang and Buda’s (2021) peer-reviewed research demonstrates that smooth transitions, gamification, and instant feedback stimulate the same reward pathways activated by gaming or social validation</w:t>
      </w:r>
      <w:r>
        <w:t xml:space="preserve"> </w:t>
      </w:r>
      <w:fldSimple w:instr="NOTEREF _Ref_Footnote_11 \h \f">
        <w:r>
          <w:rPr>
            <w:vertAlign w:val="superscript"/>
          </w:rPr>
          <w:t>11</w:t>
        </w:r>
      </w:fldSimple>
      <w:r>
        <w:t xml:space="preserve">. Every micro-interaction — a button press, a progress tick, a state change — is an opportunity to trigger a small dopamine response that keeps the user in motion.</w:t>
      </w:r>
    </w:p>
    <w:p>
      <w:pPr>
        <w:pStyle w:val="BodyText"/>
      </w:pPr>
      <w:r>
        <w:t xml:space="preserve">AI-based recommendation systems exploit this through</w:t>
      </w:r>
      <w:r>
        <w:t xml:space="preserve"> </w:t>
      </w:r>
      <w:r>
        <w:rPr>
          <w:iCs/>
          <w:i/>
        </w:rPr>
        <w:t xml:space="preserve">prediction error</w:t>
      </w:r>
      <w:r>
        <w:t xml:space="preserve">. Schultz’s (2016) work on dopamine reward prediction error coding shows that when a system delivers an unexpected but valuable output — a compliance gap the user had not considered, a regulation mapping they had not anticipated — the brain registers a</w:t>
      </w:r>
      <w:r>
        <w:t xml:space="preserve"> </w:t>
      </w:r>
      <w:r>
        <w:t xml:space="preserve">“</w:t>
      </w:r>
      <w:r>
        <w:t xml:space="preserve">prediction error</w:t>
      </w:r>
      <w:r>
        <w:t xml:space="preserve">”</w:t>
      </w:r>
      <w:r>
        <w:t xml:space="preserve"> </w:t>
      </w:r>
      <w:r>
        <w:t xml:space="preserve">that amplifies dopamine release beyond what a predictable result would produce</w:t>
      </w:r>
      <w:r>
        <w:t xml:space="preserve"> </w:t>
      </w:r>
      <w:r>
        <w:rPr>
          <w:vertAlign w:val="superscript"/>
        </w:rPr>
        <w:footnoteReference w:id="25"/>
      </w:r>
      <w:r>
        <w:t xml:space="preserve">. CRP Comply’s assistant harnesses this by surfacing non-obvious regulatory correlations during evidence generation. Williams (2020) critiques the exploitation of dopamine systems in persuasive technology, arguing for designs that serve genuine user needs</w:t>
      </w:r>
      <w:r>
        <w:t xml:space="preserve"> </w:t>
      </w:r>
      <w:fldSimple w:instr="NOTEREF _Ref_Footnote_11 \h \f">
        <w:r>
          <w:rPr>
            <w:vertAlign w:val="superscript"/>
          </w:rPr>
          <w:t>11</w:t>
        </w:r>
      </w:fldSimple>
      <w:r>
        <w:t xml:space="preserve">. The principle is straightforward: reward the user for doing their job better, not for spending more time in the product.</w:t>
      </w:r>
    </w:p>
    <w:bookmarkEnd w:id="25"/>
    <w:bookmarkStart w:id="26" w:name="flow-states-in-compliance-software"/>
    <w:p>
      <w:pPr>
        <w:pStyle w:val="Heading3"/>
      </w:pPr>
      <w:r>
        <w:t xml:space="preserve">1.2 Flow States in Compliance Software</w:t>
      </w:r>
    </w:p>
    <w:p>
      <w:pPr>
        <w:pStyle w:val="FirstParagraph"/>
      </w:pPr>
      <w:r>
        <w:t xml:space="preserve">Csikszentmihalyi’s nine-dimension model — validated by Jackson and Marsh (1996) with confirmatory factor analysis (CFI=.92, RMSEA=.06)</w:t>
      </w:r>
      <w:r>
        <w:t xml:space="preserve"> </w:t>
      </w:r>
      <w:r>
        <w:rPr>
          <w:vertAlign w:val="superscript"/>
        </w:rPr>
        <w:footnoteReference w:id="26"/>
      </w:r>
      <w:r>
        <w:t xml:space="preserve">— describes the state of complete absorption in which an activity becomes intrinsically rewarding. Flow occurs in a narrow</w:t>
      </w:r>
      <w:r>
        <w:t xml:space="preserve"> </w:t>
      </w:r>
      <w:r>
        <w:t xml:space="preserve">“</w:t>
      </w:r>
      <w:r>
        <w:t xml:space="preserve">channel</w:t>
      </w:r>
      <w:r>
        <w:t xml:space="preserve">”</w:t>
      </w:r>
      <w:r>
        <w:t xml:space="preserve"> </w:t>
      </w:r>
      <w:r>
        <w:t xml:space="preserve">where task demands match skill precisely: too low produces boredom, too high produces anxiety</w:t>
      </w:r>
      <w:r>
        <w:t xml:space="preserve"> </w:t>
      </w:r>
      <w:fldSimple w:instr="NOTEREF _Ref_Footnote_26 \h \f">
        <w:r>
          <w:rPr>
            <w:vertAlign w:val="superscript"/>
          </w:rPr>
          <w:t>26</w:t>
        </w:r>
      </w:fldSimple>
      <w:r>
        <w:t xml:space="preserve">. In the Octalysis Framework, flow sits at the intersection of Core Drive 3 (Creativity and Feedback) and Core Drive 2 (Accomplishment) — the intrinsic motivation</w:t>
      </w:r>
      <w:r>
        <w:t xml:space="preserve"> </w:t>
      </w:r>
      <w:r>
        <w:t xml:space="preserve">“</w:t>
      </w:r>
      <w:r>
        <w:t xml:space="preserve">sweet spot</w:t>
      </w:r>
      <w:r>
        <w:t xml:space="preserve">”</w:t>
      </w:r>
      <w:r>
        <w:t xml:space="preserve"> </w:t>
      </w:r>
      <w:r>
        <w:rPr>
          <w:vertAlign w:val="superscript"/>
        </w:rPr>
        <w:footnoteReference w:id="27"/>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Flow Dimension</w:t>
            </w:r>
          </w:p>
        </w:tc>
        <w:tc>
          <w:tcPr/>
          <w:p>
            <w:pPr>
              <w:pStyle w:val="Compact"/>
              <w:jc w:val="left"/>
            </w:pPr>
            <w:r>
              <w:t xml:space="preserve">CRP Comply Implementation</w:t>
            </w:r>
          </w:p>
        </w:tc>
        <w:tc>
          <w:tcPr/>
          <w:p>
            <w:pPr>
              <w:pStyle w:val="Compact"/>
              <w:jc w:val="left"/>
            </w:pPr>
            <w:r>
              <w:t xml:space="preserve">Psychological Function</w:t>
            </w:r>
          </w:p>
        </w:tc>
      </w:tr>
      <w:tr>
        <w:tc>
          <w:tcPr/>
          <w:p>
            <w:pPr>
              <w:pStyle w:val="Compact"/>
              <w:jc w:val="left"/>
            </w:pPr>
            <w:r>
              <w:t xml:space="preserve">Challenge-Skill Balance</w:t>
            </w:r>
          </w:p>
        </w:tc>
        <w:tc>
          <w:tcPr/>
          <w:p>
            <w:pPr>
              <w:pStyle w:val="Compact"/>
              <w:jc w:val="left"/>
            </w:pPr>
            <w:r>
              <w:t xml:space="preserve">Adaptive difficulty by role: guided wizards for officers, CLI for engineers</w:t>
            </w:r>
          </w:p>
        </w:tc>
        <w:tc>
          <w:tcPr/>
          <w:p>
            <w:pPr>
              <w:pStyle w:val="Compact"/>
              <w:jc w:val="left"/>
            </w:pPr>
            <w:r>
              <w:t xml:space="preserve">Prevents boredom (too easy) or anxiety (too hard)</w:t>
            </w:r>
            <w:r>
              <w:t xml:space="preserve"> </w:t>
            </w:r>
            <w:fldSimple w:instr="NOTEREF _Ref_Footnote_26 \h \f">
              <w:r>
                <w:rPr>
                  <w:vertAlign w:val="superscript"/>
                </w:rPr>
                <w:t>26</w:t>
              </w:r>
            </w:fldSimple>
          </w:p>
        </w:tc>
      </w:tr>
      <w:tr>
        <w:tc>
          <w:tcPr/>
          <w:p>
            <w:pPr>
              <w:pStyle w:val="Compact"/>
              <w:jc w:val="left"/>
            </w:pPr>
            <w:r>
              <w:t xml:space="preserve">Clear Goals</w:t>
            </w:r>
          </w:p>
        </w:tc>
        <w:tc>
          <w:tcPr/>
          <w:p>
            <w:pPr>
              <w:pStyle w:val="Compact"/>
              <w:jc w:val="left"/>
            </w:pPr>
            <w:r>
              <w:t xml:space="preserve">Recipe templates with explicit success criteria (e.g.,</w:t>
            </w:r>
            <w:r>
              <w:t xml:space="preserve"> </w:t>
            </w:r>
            <w:r>
              <w:t xml:space="preserve">“</w:t>
            </w:r>
            <w:r>
              <w:t xml:space="preserve">Generate SOC-2 evidence for S3</w:t>
            </w:r>
            <w:r>
              <w:t xml:space="preserve">”</w:t>
            </w:r>
            <w:r>
              <w:t xml:space="preserve">)</w:t>
            </w:r>
          </w:p>
        </w:tc>
        <w:tc>
          <w:tcPr/>
          <w:p>
            <w:pPr>
              <w:pStyle w:val="Compact"/>
              <w:jc w:val="left"/>
            </w:pPr>
            <w:r>
              <w:t xml:space="preserve">Directs attention and defines completion</w:t>
            </w:r>
            <w:r>
              <w:t xml:space="preserve"> </w:t>
            </w:r>
            <w:fldSimple w:instr="NOTEREF _Ref_Footnote_26 \h \f">
              <w:r>
                <w:rPr>
                  <w:vertAlign w:val="superscript"/>
                </w:rPr>
                <w:t>26</w:t>
              </w:r>
            </w:fldSimple>
          </w:p>
        </w:tc>
      </w:tr>
      <w:tr>
        <w:tc>
          <w:tcPr/>
          <w:p>
            <w:pPr>
              <w:pStyle w:val="Compact"/>
              <w:jc w:val="left"/>
            </w:pPr>
            <w:r>
              <w:t xml:space="preserve">Unambiguous Feedback</w:t>
            </w:r>
          </w:p>
        </w:tc>
        <w:tc>
          <w:tcPr/>
          <w:p>
            <w:pPr>
              <w:pStyle w:val="Compact"/>
              <w:jc w:val="left"/>
            </w:pPr>
            <w:r>
              <w:t xml:space="preserve">Real-time control status indicators; streaming assistant output</w:t>
            </w:r>
          </w:p>
        </w:tc>
        <w:tc>
          <w:tcPr/>
          <w:p>
            <w:pPr>
              <w:pStyle w:val="Compact"/>
              <w:jc w:val="left"/>
            </w:pPr>
            <w:r>
              <w:t xml:space="preserve">Closes the action-feedback loop within milliseconds</w:t>
            </w:r>
            <w:r>
              <w:t xml:space="preserve"> </w:t>
            </w:r>
            <w:fldSimple w:instr="NOTEREF _Ref_Footnote_26 \h \f">
              <w:r>
                <w:rPr>
                  <w:vertAlign w:val="superscript"/>
                </w:rPr>
                <w:t>26</w:t>
              </w:r>
            </w:fldSimple>
          </w:p>
        </w:tc>
      </w:tr>
      <w:tr>
        <w:tc>
          <w:tcPr/>
          <w:p>
            <w:pPr>
              <w:pStyle w:val="Compact"/>
              <w:jc w:val="left"/>
            </w:pPr>
            <w:r>
              <w:t xml:space="preserve">Concentration</w:t>
            </w:r>
          </w:p>
        </w:tc>
        <w:tc>
          <w:tcPr/>
          <w:p>
            <w:pPr>
              <w:pStyle w:val="Compact"/>
              <w:jc w:val="left"/>
            </w:pPr>
            <w:r>
              <w:t xml:space="preserve">Single-pane focus mode; CMD+K palette eliminates menu hunting</w:t>
            </w:r>
          </w:p>
        </w:tc>
        <w:tc>
          <w:tcPr/>
          <w:p>
            <w:pPr>
              <w:pStyle w:val="Compact"/>
              <w:jc w:val="left"/>
            </w:pPr>
            <w:r>
              <w:t xml:space="preserve">Sustains attention by minimising context-switching</w:t>
            </w:r>
            <w:r>
              <w:t xml:space="preserve"> </w:t>
            </w:r>
            <w:fldSimple w:instr="NOTEREF _Ref_Footnote_26 \h \f">
              <w:r>
                <w:rPr>
                  <w:vertAlign w:val="superscript"/>
                </w:rPr>
                <w:t>26</w:t>
              </w:r>
            </w:fldSimple>
          </w:p>
        </w:tc>
      </w:tr>
      <w:tr>
        <w:tc>
          <w:tcPr/>
          <w:p>
            <w:pPr>
              <w:pStyle w:val="Compact"/>
              <w:jc w:val="left"/>
            </w:pPr>
            <w:r>
              <w:t xml:space="preserve">Sense of Control</w:t>
            </w:r>
          </w:p>
        </w:tc>
        <w:tc>
          <w:tcPr/>
          <w:p>
            <w:pPr>
              <w:pStyle w:val="Compact"/>
              <w:jc w:val="left"/>
            </w:pPr>
            <w:r>
              <w:t xml:space="preserve">Autonomy dial (Suggest / Draft / Autonomous); configurable audit scope</w:t>
            </w:r>
          </w:p>
        </w:tc>
        <w:tc>
          <w:tcPr/>
          <w:p>
            <w:pPr>
              <w:pStyle w:val="Compact"/>
              <w:jc w:val="left"/>
            </w:pPr>
            <w:r>
              <w:t xml:space="preserve">Satisfies competence needs per Self-Determination Theory</w:t>
            </w:r>
            <w:r>
              <w:t xml:space="preserve"> </w:t>
            </w:r>
            <w:r>
              <w:rPr>
                <w:vertAlign w:val="superscript"/>
              </w:rPr>
              <w:footnoteReference w:id="28"/>
            </w:r>
          </w:p>
        </w:tc>
      </w:tr>
      <w:tr>
        <w:tc>
          <w:tcPr/>
          <w:p>
            <w:pPr>
              <w:pStyle w:val="Compact"/>
              <w:jc w:val="left"/>
            </w:pPr>
            <w:r>
              <w:t xml:space="preserve">Time Transformation</w:t>
            </w:r>
          </w:p>
        </w:tc>
        <w:tc>
          <w:tcPr/>
          <w:p>
            <w:pPr>
              <w:pStyle w:val="Compact"/>
              <w:jc w:val="left"/>
            </w:pPr>
            <w:r>
              <w:t xml:space="preserve">Progress visualisation during long audits; skeleton screens</w:t>
            </w:r>
          </w:p>
        </w:tc>
        <w:tc>
          <w:tcPr/>
          <w:p>
            <w:pPr>
              <w:pStyle w:val="Compact"/>
              <w:jc w:val="left"/>
            </w:pPr>
            <w:r>
              <w:t xml:space="preserve">Makes extended sessions feel shorter</w:t>
            </w:r>
            <w:r>
              <w:t xml:space="preserve"> </w:t>
            </w:r>
            <w:r>
              <w:rPr>
                <w:vertAlign w:val="superscript"/>
              </w:rPr>
              <w:footnoteReference w:id="29"/>
            </w:r>
          </w:p>
        </w:tc>
      </w:tr>
      <w:tr>
        <w:tc>
          <w:tcPr/>
          <w:p>
            <w:pPr>
              <w:pStyle w:val="Compact"/>
              <w:jc w:val="left"/>
            </w:pPr>
            <w:r>
              <w:t xml:space="preserve">Autotelic Experience</w:t>
            </w:r>
          </w:p>
        </w:tc>
        <w:tc>
          <w:tcPr/>
          <w:p>
            <w:pPr>
              <w:pStyle w:val="Compact"/>
              <w:jc w:val="left"/>
            </w:pPr>
            <w:r>
              <w:t xml:space="preserve">“</w:t>
            </w:r>
            <w:r>
              <w:t xml:space="preserve">All controls passing</w:t>
            </w:r>
            <w:r>
              <w:t xml:space="preserve">”</w:t>
            </w:r>
            <w:r>
              <w:t xml:space="preserve"> </w:t>
            </w:r>
            <w:r>
              <w:t xml:space="preserve">celebration; readiness score improvements</w:t>
            </w:r>
          </w:p>
        </w:tc>
        <w:tc>
          <w:tcPr/>
          <w:p>
            <w:pPr>
              <w:pStyle w:val="Compact"/>
              <w:jc w:val="left"/>
            </w:pPr>
            <w:r>
              <w:t xml:space="preserve">Creates intrinsic reward from mastery itself</w:t>
            </w:r>
            <w:r>
              <w:t xml:space="preserve"> </w:t>
            </w:r>
            <w:fldSimple w:instr="NOTEREF _Ref_Footnote_27 \h \f">
              <w:r>
                <w:rPr>
                  <w:vertAlign w:val="superscript"/>
                </w:rPr>
                <w:t>27</w:t>
              </w:r>
            </w:fldSimple>
          </w:p>
        </w:tc>
      </w:tr>
    </w:tbl>
    <w:p>
      <w:pPr>
        <w:pStyle w:val="BodyText"/>
      </w:pPr>
      <w:r>
        <w:rPr>
          <w:iCs/>
          <w:i/>
        </w:rPr>
        <w:t xml:space="preserve">Table: Csikszentmihalyi’s seven experiential flow dimensions mapped to CRP Comply features. The first two dimensions are pre-conditions; the remaining five are experiential characteristics</w:t>
      </w:r>
      <w:r>
        <w:rPr>
          <w:iCs/>
          <w:i/>
        </w:rPr>
        <w:t xml:space="preserve"> </w:t>
      </w:r>
      <w:fldSimple w:instr="NOTEREF _Ref_Footnote_26 \h \f">
        <w:r>
          <w:rPr>
            <w:vertAlign w:val="superscript"/>
          </w:rPr>
          <w:t>26</w:t>
        </w:r>
      </w:fldSimple>
      <w:r>
        <w:rPr>
          <w:iCs/>
          <w:i/>
        </w:rPr>
        <w:t xml:space="preserve">.</w:t>
      </w:r>
    </w:p>
    <w:p>
      <w:pPr>
        <w:pStyle w:val="BodyText"/>
      </w:pPr>
      <w:r>
        <w:t xml:space="preserve">Compliance software would seem an unlikely candidate for flow, yet this is precisely why achieving it represents such a powerful competitive advantage. When a compliance officer selects a recipe with a clear goal, chooses their autonomy level, and receives streaming output (</w:t>
      </w:r>
      <w:r>
        <w:t xml:space="preserve">“</w:t>
      </w:r>
      <w:r>
        <w:t xml:space="preserve">Checking EU AI Act Article 6(2)… Mapping to Annex III(1)…</w:t>
      </w:r>
      <w:r>
        <w:t xml:space="preserve">”</w:t>
      </w:r>
      <w:r>
        <w:t xml:space="preserve">), they experience not tedious form-filling but sustained productive absorption. This is the</w:t>
      </w:r>
      <w:r>
        <w:t xml:space="preserve"> </w:t>
      </w:r>
      <w:r>
        <w:t xml:space="preserve">“</w:t>
      </w:r>
      <w:r>
        <w:t xml:space="preserve">Compliance Flow State</w:t>
      </w:r>
      <w:r>
        <w:t xml:space="preserve">”</w:t>
      </w:r>
      <w:r>
        <w:t xml:space="preserve"> </w:t>
      </w:r>
      <w:r>
        <w:t xml:space="preserve">— achievable because the platform absorbs regulatory complexity rather than exposing it.</w:t>
      </w:r>
    </w:p>
    <w:bookmarkEnd w:id="26"/>
    <w:bookmarkStart w:id="27" w:name="cognitive-load-reduction"/>
    <w:p>
      <w:pPr>
        <w:pStyle w:val="Heading3"/>
      </w:pPr>
      <w:r>
        <w:t xml:space="preserve">1.3 Cognitive Load Reduction</w:t>
      </w:r>
    </w:p>
    <w:p>
      <w:pPr>
        <w:pStyle w:val="FirstParagraph"/>
      </w:pPr>
      <w:r>
        <w:t xml:space="preserve">Compliance workflows are inherently complex. The platform must absorb that complexity, not display it. Three principles govern this.</w:t>
      </w:r>
    </w:p>
    <w:p>
      <w:pPr>
        <w:pStyle w:val="BodyText"/>
      </w:pPr>
      <w:r>
        <w:t xml:space="preserve">First, Hick’s Law: response time increases logarithmically as the number of choices increases</w:t>
      </w:r>
      <w:r>
        <w:t xml:space="preserve"> </w:t>
      </w:r>
      <w:r>
        <w:rPr>
          <w:vertAlign w:val="superscript"/>
        </w:rPr>
        <w:footnoteReference w:id="30"/>
      </w:r>
      <w:r>
        <w:t xml:space="preserve">. Every additional menu item or unexplained field compounds decision time. The design response is progressive disclosure — presenting content step-by-step so users focus on one task at a time</w:t>
      </w:r>
      <w:r>
        <w:t xml:space="preserve"> </w:t>
      </w:r>
      <w:r>
        <w:rPr>
          <w:vertAlign w:val="superscript"/>
        </w:rPr>
        <w:footnoteReference w:id="31"/>
      </w:r>
      <w:r>
        <w:t xml:space="preserve">. Basic audit mode shows top-level control status; advanced mode reveals granular evidence requirements only on request.</w:t>
      </w:r>
    </w:p>
    <w:p>
      <w:pPr>
        <w:pStyle w:val="BodyText"/>
      </w:pPr>
      <w:r>
        <w:t xml:space="preserve">Second, Cognitive Load Theory identifies three load types:</w:t>
      </w:r>
      <w:r>
        <w:t xml:space="preserve"> </w:t>
      </w:r>
      <w:r>
        <w:rPr>
          <w:iCs/>
          <w:i/>
        </w:rPr>
        <w:t xml:space="preserve">intrinsic</w:t>
      </w:r>
      <w:r>
        <w:t xml:space="preserve"> </w:t>
      </w:r>
      <w:r>
        <w:t xml:space="preserve">(inherent task complexity),</w:t>
      </w:r>
      <w:r>
        <w:t xml:space="preserve"> </w:t>
      </w:r>
      <w:r>
        <w:rPr>
          <w:iCs/>
          <w:i/>
        </w:rPr>
        <w:t xml:space="preserve">extraneous</w:t>
      </w:r>
      <w:r>
        <w:t xml:space="preserve"> </w:t>
      </w:r>
      <w:r>
        <w:t xml:space="preserve">(unnecessary effort from poor UI design), and</w:t>
      </w:r>
      <w:r>
        <w:t xml:space="preserve"> </w:t>
      </w:r>
      <w:r>
        <w:rPr>
          <w:iCs/>
          <w:i/>
        </w:rPr>
        <w:t xml:space="preserve">germane</w:t>
      </w:r>
      <w:r>
        <w:t xml:space="preserve"> </w:t>
      </w:r>
      <w:r>
        <w:t xml:space="preserve">(effort spent learning)</w:t>
      </w:r>
      <w:r>
        <w:t xml:space="preserve"> </w:t>
      </w:r>
      <w:r>
        <w:rPr>
          <w:vertAlign w:val="superscript"/>
        </w:rPr>
        <w:footnoteReference w:id="32"/>
      </w:r>
      <w:r>
        <w:t xml:space="preserve">. Reducing extraneous load is the highest-leverage action. Single-column layouts outperform multi-column designs for form completion</w:t>
      </w:r>
      <w:r>
        <w:t xml:space="preserve"> </w:t>
      </w:r>
      <w:r>
        <w:rPr>
          <w:vertAlign w:val="superscript"/>
        </w:rPr>
        <w:footnoteReference w:id="33"/>
      </w:r>
      <w:r>
        <w:t xml:space="preserve">, larger targets are faster to acquire (Fitts’s Law)</w:t>
      </w:r>
      <w:r>
        <w:t xml:space="preserve"> </w:t>
      </w:r>
      <w:r>
        <w:rPr>
          <w:vertAlign w:val="superscript"/>
        </w:rPr>
        <w:footnoteReference w:id="34"/>
      </w:r>
      <w:r>
        <w:t xml:space="preserve">, and conditional disclosure reveals advanced options only when relevant</w:t>
      </w:r>
      <w:r>
        <w:t xml:space="preserve"> </w:t>
      </w:r>
      <w:fldSimple w:instr="NOTEREF _Ref_Footnote_31 \h \f">
        <w:r>
          <w:rPr>
            <w:vertAlign w:val="superscript"/>
          </w:rPr>
          <w:t>31</w:t>
        </w:r>
      </w:fldSimple>
      <w:r>
        <w:t xml:space="preserve">.</w:t>
      </w:r>
    </w:p>
    <w:p>
      <w:pPr>
        <w:pStyle w:val="BodyText"/>
      </w:pPr>
      <w:r>
        <w:t xml:space="preserve">Third, Miller’s</w:t>
      </w:r>
      <w:r>
        <w:t xml:space="preserve"> </w:t>
      </w:r>
      <w:r>
        <w:t xml:space="preserve">“</w:t>
      </w:r>
      <w:r>
        <w:t xml:space="preserve">magical number seven</w:t>
      </w:r>
      <w:r>
        <w:t xml:space="preserve">”</w:t>
      </w:r>
      <w:r>
        <w:t xml:space="preserve"> </w:t>
      </w:r>
      <w:r>
        <w:t xml:space="preserve">concerned short-term</w:t>
      </w:r>
      <w:r>
        <w:t xml:space="preserve"> </w:t>
      </w:r>
      <w:r>
        <w:rPr>
          <w:iCs/>
          <w:i/>
        </w:rPr>
        <w:t xml:space="preserve">memory</w:t>
      </w:r>
      <w:r>
        <w:t xml:space="preserve"> </w:t>
      </w:r>
      <w:r>
        <w:t xml:space="preserve">capacity, not visible interface items</w:t>
      </w:r>
      <w:r>
        <w:t xml:space="preserve"> </w:t>
      </w:r>
      <w:r>
        <w:rPr>
          <w:vertAlign w:val="superscript"/>
        </w:rPr>
        <w:footnoteReference w:id="35"/>
      </w:r>
      <w:r>
        <w:t xml:space="preserve">. When information remains on-screen and need not be recalled, the constraint loosens. The practical guideline: group controls into four to seven items only for recall tasks; for recognition-based tasks where items stay visible, larger sets are acceptable</w:t>
      </w:r>
      <w:r>
        <w:t xml:space="preserve"> </w:t>
      </w:r>
      <w:fldSimple w:instr="NOTEREF _Ref_Footnote_35 \h \f">
        <w:r>
          <w:rPr>
            <w:vertAlign w:val="superscript"/>
          </w:rPr>
          <w:t>35</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Response Tier</w:t>
            </w:r>
          </w:p>
        </w:tc>
        <w:tc>
          <w:tcPr/>
          <w:p>
            <w:pPr>
              <w:pStyle w:val="Compact"/>
              <w:jc w:val="left"/>
            </w:pPr>
            <w:r>
              <w:t xml:space="preserve">Latency Threshold</w:t>
            </w:r>
          </w:p>
        </w:tc>
        <w:tc>
          <w:tcPr/>
          <w:p>
            <w:pPr>
              <w:pStyle w:val="Compact"/>
              <w:jc w:val="left"/>
            </w:pPr>
            <w:r>
              <w:t xml:space="preserve">User Perception</w:t>
            </w:r>
          </w:p>
        </w:tc>
        <w:tc>
          <w:tcPr/>
          <w:p>
            <w:pPr>
              <w:pStyle w:val="Compact"/>
              <w:jc w:val="left"/>
            </w:pPr>
            <w:r>
              <w:t xml:space="preserve">CRP Comply Example</w:t>
            </w:r>
          </w:p>
        </w:tc>
      </w:tr>
      <w:tr>
        <w:tc>
          <w:tcPr/>
          <w:p>
            <w:pPr>
              <w:pStyle w:val="Compact"/>
              <w:jc w:val="left"/>
            </w:pPr>
            <w:r>
              <w:t xml:space="preserve">Instant</w:t>
            </w:r>
          </w:p>
        </w:tc>
        <w:tc>
          <w:tcPr/>
          <w:p>
            <w:pPr>
              <w:pStyle w:val="Compact"/>
              <w:jc w:val="left"/>
            </w:pPr>
            <w:r>
              <w:t xml:space="preserve">&lt;100 ms</w:t>
            </w:r>
          </w:p>
        </w:tc>
        <w:tc>
          <w:tcPr/>
          <w:p>
            <w:pPr>
              <w:pStyle w:val="Compact"/>
              <w:jc w:val="left"/>
            </w:pPr>
            <w:r>
              <w:t xml:space="preserve">Feels immediate; no awareness of delay</w:t>
            </w:r>
            <w:r>
              <w:t xml:space="preserve"> </w:t>
            </w:r>
            <w:fldSimple w:instr="NOTEREF _Ref_Footnote_29 \h \f">
              <w:r>
                <w:rPr>
                  <w:vertAlign w:val="superscript"/>
                </w:rPr>
                <w:t>29</w:t>
              </w:r>
            </w:fldSimple>
          </w:p>
        </w:tc>
        <w:tc>
          <w:tcPr/>
          <w:p>
            <w:pPr>
              <w:pStyle w:val="Compact"/>
              <w:jc w:val="left"/>
            </w:pPr>
            <w:r>
              <w:t xml:space="preserve">Button clicks, toggles, cursor movement</w:t>
            </w:r>
          </w:p>
        </w:tc>
      </w:tr>
      <w:tr>
        <w:tc>
          <w:tcPr/>
          <w:p>
            <w:pPr>
              <w:pStyle w:val="Compact"/>
              <w:jc w:val="left"/>
            </w:pPr>
            <w:r>
              <w:t xml:space="preserve">Quick</w:t>
            </w:r>
          </w:p>
        </w:tc>
        <w:tc>
          <w:tcPr/>
          <w:p>
            <w:pPr>
              <w:pStyle w:val="Compact"/>
              <w:jc w:val="left"/>
            </w:pPr>
            <w:r>
              <w:t xml:space="preserve">&lt;400 ms</w:t>
            </w:r>
          </w:p>
        </w:tc>
        <w:tc>
          <w:tcPr/>
          <w:p>
            <w:pPr>
              <w:pStyle w:val="Compact"/>
              <w:jc w:val="left"/>
            </w:pPr>
            <w:r>
              <w:t xml:space="preserve">Slight but acceptable delay</w:t>
            </w:r>
            <w:r>
              <w:t xml:space="preserve"> </w:t>
            </w:r>
            <w:fldSimple w:instr="NOTEREF _Ref_Footnote_29 \h \f">
              <w:r>
                <w:rPr>
                  <w:vertAlign w:val="superscript"/>
                </w:rPr>
                <w:t>29</w:t>
              </w:r>
            </w:fldSimple>
          </w:p>
        </w:tc>
        <w:tc>
          <w:tcPr/>
          <w:p>
            <w:pPr>
              <w:pStyle w:val="Compact"/>
              <w:jc w:val="left"/>
            </w:pPr>
            <w:r>
              <w:t xml:space="preserve">Navigation between views, simple commands</w:t>
            </w:r>
          </w:p>
        </w:tc>
      </w:tr>
      <w:tr>
        <w:tc>
          <w:tcPr/>
          <w:p>
            <w:pPr>
              <w:pStyle w:val="Compact"/>
              <w:jc w:val="left"/>
            </w:pPr>
            <w:r>
              <w:t xml:space="preserve">Moderate</w:t>
            </w:r>
          </w:p>
        </w:tc>
        <w:tc>
          <w:tcPr/>
          <w:p>
            <w:pPr>
              <w:pStyle w:val="Compact"/>
              <w:jc w:val="left"/>
            </w:pPr>
            <w:r>
              <w:t xml:space="preserve">&lt;2 s</w:t>
            </w:r>
          </w:p>
        </w:tc>
        <w:tc>
          <w:tcPr/>
          <w:p>
            <w:pPr>
              <w:pStyle w:val="Compact"/>
              <w:jc w:val="left"/>
            </w:pPr>
            <w:r>
              <w:t xml:space="preserve">Processing acknowledged; patience required</w:t>
            </w:r>
            <w:r>
              <w:t xml:space="preserve"> </w:t>
            </w:r>
            <w:fldSimple w:instr="NOTEREF _Ref_Footnote_29 \h \f">
              <w:r>
                <w:rPr>
                  <w:vertAlign w:val="superscript"/>
                </w:rPr>
                <w:t>29</w:t>
              </w:r>
            </w:fldSimple>
          </w:p>
        </w:tc>
        <w:tc>
          <w:tcPr/>
          <w:p>
            <w:pPr>
              <w:pStyle w:val="Compact"/>
              <w:jc w:val="left"/>
            </w:pPr>
            <w:r>
              <w:t xml:space="preserve">Search results, filter application</w:t>
            </w:r>
          </w:p>
        </w:tc>
      </w:tr>
      <w:tr>
        <w:tc>
          <w:tcPr/>
          <w:p>
            <w:pPr>
              <w:pStyle w:val="Compact"/>
              <w:jc w:val="left"/>
            </w:pPr>
            <w:r>
              <w:t xml:space="preserve">Complex</w:t>
            </w:r>
          </w:p>
        </w:tc>
        <w:tc>
          <w:tcPr/>
          <w:p>
            <w:pPr>
              <w:pStyle w:val="Compact"/>
              <w:jc w:val="left"/>
            </w:pPr>
            <w:r>
              <w:t xml:space="preserve">&lt;10 s</w:t>
            </w:r>
          </w:p>
        </w:tc>
        <w:tc>
          <w:tcPr/>
          <w:p>
            <w:pPr>
              <w:pStyle w:val="Compact"/>
              <w:jc w:val="left"/>
            </w:pPr>
            <w:r>
              <w:t xml:space="preserve">Task is substantial; progress feedback essential</w:t>
            </w:r>
            <w:r>
              <w:t xml:space="preserve"> </w:t>
            </w:r>
            <w:fldSimple w:instr="NOTEREF _Ref_Footnote_29 \h \f">
              <w:r>
                <w:rPr>
                  <w:vertAlign w:val="superscript"/>
                </w:rPr>
                <w:t>29</w:t>
              </w:r>
            </w:fldSimple>
          </w:p>
        </w:tc>
        <w:tc>
          <w:tcPr/>
          <w:p>
            <w:pPr>
              <w:pStyle w:val="Compact"/>
              <w:jc w:val="left"/>
            </w:pPr>
            <w:r>
              <w:t xml:space="preserve">Full compliance audit across 100+ controls</w:t>
            </w:r>
          </w:p>
        </w:tc>
      </w:tr>
      <w:tr>
        <w:tc>
          <w:tcPr/>
          <w:p>
            <w:pPr>
              <w:pStyle w:val="Compact"/>
              <w:jc w:val="left"/>
            </w:pPr>
            <w:r>
              <w:t xml:space="preserve">Extended</w:t>
            </w:r>
          </w:p>
        </w:tc>
        <w:tc>
          <w:tcPr/>
          <w:p>
            <w:pPr>
              <w:pStyle w:val="Compact"/>
              <w:jc w:val="left"/>
            </w:pPr>
            <w:r>
              <w:t xml:space="preserve">&gt;10 s</w:t>
            </w:r>
          </w:p>
        </w:tc>
        <w:tc>
          <w:tcPr/>
          <w:p>
            <w:pPr>
              <w:pStyle w:val="Compact"/>
              <w:jc w:val="left"/>
            </w:pPr>
            <w:r>
              <w:t xml:space="preserve">Risk of abandonment without reassurance</w:t>
            </w:r>
            <w:r>
              <w:t xml:space="preserve"> </w:t>
            </w:r>
            <w:fldSimple w:instr="NOTEREF _Ref_Footnote_29 \h \f">
              <w:r>
                <w:rPr>
                  <w:vertAlign w:val="superscript"/>
                </w:rPr>
                <w:t>29</w:t>
              </w:r>
            </w:fldSimple>
          </w:p>
        </w:tc>
        <w:tc>
          <w:tcPr/>
          <w:p>
            <w:pPr>
              <w:pStyle w:val="Compact"/>
              <w:jc w:val="left"/>
            </w:pPr>
            <w:r>
              <w:t xml:space="preserve">Large-scale evidence generation</w:t>
            </w:r>
          </w:p>
        </w:tc>
      </w:tr>
    </w:tbl>
    <w:p>
      <w:pPr>
        <w:pStyle w:val="BodyText"/>
      </w:pPr>
      <w:r>
        <w:rPr>
          <w:iCs/>
          <w:i/>
        </w:rPr>
        <w:t xml:space="preserve">Table: Five-tier response time model. Operations under 100 ms feel instant because they complete within the human perceptual system’s temporal integration window</w:t>
      </w:r>
      <w:r>
        <w:rPr>
          <w:iCs/>
          <w:i/>
        </w:rPr>
        <w:t xml:space="preserve"> </w:t>
      </w:r>
      <w:fldSimple w:instr="NOTEREF _Ref_Footnote_29 \h \f">
        <w:r>
          <w:rPr>
            <w:vertAlign w:val="superscript"/>
          </w:rPr>
          <w:t>29</w:t>
        </w:r>
      </w:fldSimple>
      <w:r>
        <w:rPr>
          <w:iCs/>
          <w:i/>
        </w:rPr>
        <w:t xml:space="preserve">.</w:t>
      </w:r>
    </w:p>
    <w:p>
      <w:pPr>
        <w:pStyle w:val="BodyText"/>
      </w:pPr>
      <w:r>
        <w:t xml:space="preserve">The evidence for immediate feedback is unequivocal. Gmail’s optimistic UI moves messages to</w:t>
      </w:r>
      <w:r>
        <w:t xml:space="preserve"> </w:t>
      </w:r>
      <w:r>
        <w:t xml:space="preserve">“</w:t>
      </w:r>
      <w:r>
        <w:t xml:space="preserve">Sent</w:t>
      </w:r>
      <w:r>
        <w:t xml:space="preserve">”</w:t>
      </w:r>
      <w:r>
        <w:t xml:space="preserve"> </w:t>
      </w:r>
      <w:r>
        <w:t xml:space="preserve">instantly while transmission occurs asynchronously, providing psychological closure</w:t>
      </w:r>
      <w:r>
        <w:t xml:space="preserve"> </w:t>
      </w:r>
      <w:fldSimple w:instr="NOTEREF _Ref_Footnote_29 \h \f">
        <w:r>
          <w:rPr>
            <w:vertAlign w:val="superscript"/>
          </w:rPr>
          <w:t>29</w:t>
        </w:r>
      </w:fldSimple>
      <w:r>
        <w:t xml:space="preserve">. Linear applies the same pattern to issue updates, displaying changes client-side immediately</w:t>
      </w:r>
      <w:r>
        <w:t xml:space="preserve"> </w:t>
      </w:r>
      <w:fldSimple w:instr="NOTEREF _Ref_Footnote_29 \h \f">
        <w:r>
          <w:rPr>
            <w:vertAlign w:val="superscript"/>
          </w:rPr>
          <w:t>29</w:t>
        </w:r>
      </w:fldSimple>
      <w:r>
        <w:t xml:space="preserve">. CRP Comply must follow suit: evidence collection shows</w:t>
      </w:r>
      <w:r>
        <w:t xml:space="preserve"> </w:t>
      </w:r>
      <w:r>
        <w:t xml:space="preserve">“</w:t>
      </w:r>
      <w:r>
        <w:t xml:space="preserve">Collecting…</w:t>
      </w:r>
      <w:r>
        <w:t xml:space="preserve">”</w:t>
      </w:r>
      <w:r>
        <w:t xml:space="preserve"> </w:t>
      </w:r>
      <w:r>
        <w:t xml:space="preserve">the moment the user initiates it, not after a server round-trip. Progress indicators showing slow initial progress nearly doubled abandonment (21.8% versus 11.3%), while progress displays reduced user anxiety by 27%</w:t>
      </w:r>
      <w:r>
        <w:t xml:space="preserve"> </w:t>
      </w:r>
      <w:fldSimple w:instr="NOTEREF _Ref_Footnote_29 \h \f">
        <w:r>
          <w:rPr>
            <w:vertAlign w:val="superscript"/>
          </w:rPr>
          <w:t>29</w:t>
        </w:r>
      </w:fldSimple>
      <w:r>
        <w:t xml:space="preserve">.</w:t>
      </w:r>
    </w:p>
    <w:bookmarkEnd w:id="27"/>
    <w:bookmarkStart w:id="28" w:name="the-peak-end-rule-and-trust-formation"/>
    <w:p>
      <w:pPr>
        <w:pStyle w:val="Heading3"/>
      </w:pPr>
      <w:r>
        <w:t xml:space="preserve">1.4 The Peak-End Rule and Trust Formation</w:t>
      </w:r>
    </w:p>
    <w:p>
      <w:pPr>
        <w:pStyle w:val="FirstParagraph"/>
      </w:pPr>
      <w:r>
        <w:t xml:space="preserve">Kahneman’s Peak-End Rule states that users remember only two moments: the emotional peak and the ending. Duration is almost entirely ignored</w:t>
      </w:r>
      <w:r>
        <w:t xml:space="preserve"> </w:t>
      </w:r>
      <w:r>
        <w:rPr>
          <w:vertAlign w:val="superscript"/>
        </w:rPr>
        <w:footnoteReference w:id="36"/>
      </w:r>
      <w:r>
        <w:t xml:space="preserve">. In the colonoscopy study, patient ratings were predicted almost entirely by peak pain and final-minute pain; total procedure duration (4–69 minutes) barely mattered</w:t>
      </w:r>
      <w:r>
        <w:t xml:space="preserve"> </w:t>
      </w:r>
      <w:fldSimple w:instr="NOTEREF _Ref_Footnote_36 \h \f">
        <w:r>
          <w:rPr>
            <w:vertAlign w:val="superscript"/>
          </w:rPr>
          <w:t>36</w:t>
        </w:r>
      </w:fldSimple>
      <w:r>
        <w:t xml:space="preserve">. For CRP Comply, two investments are non-negotiable: engineer the peak (the</w:t>
      </w:r>
      <w:r>
        <w:t xml:space="preserve"> </w:t>
      </w:r>
      <w:r>
        <w:t xml:space="preserve">“</w:t>
      </w:r>
      <w:r>
        <w:t xml:space="preserve">all controls passing</w:t>
      </w:r>
      <w:r>
        <w:t xml:space="preserve">”</w:t>
      </w:r>
      <w:r>
        <w:t xml:space="preserve"> </w:t>
      </w:r>
      <w:r>
        <w:t xml:space="preserve">moment deserves visual celebration and immediate export capability) and own the ending (every session closes with an accomplishment summary —</w:t>
      </w:r>
      <w:r>
        <w:t xml:space="preserve"> </w:t>
      </w:r>
      <w:r>
        <w:t xml:space="preserve">“</w:t>
      </w:r>
      <w:r>
        <w:t xml:space="preserve">You secured 47 controls today. Your posture improved 12%.</w:t>
      </w:r>
      <w:r>
        <w:t xml:space="preserve">”</w:t>
      </w:r>
      <w:r>
        <w:t xml:space="preserve">). Never end on an error state</w:t>
      </w:r>
      <w:r>
        <w:t xml:space="preserve"> </w:t>
      </w:r>
      <w:fldSimple w:instr="NOTEREF _Ref_Footnote_36 \h \f">
        <w:r>
          <w:rPr>
            <w:vertAlign w:val="superscript"/>
          </w:rPr>
          <w:t>36</w:t>
        </w:r>
      </w:fldSimple>
      <w:r>
        <w:t xml:space="preserve">.</w:t>
      </w:r>
    </w:p>
    <w:p>
      <w:pPr>
        <w:pStyle w:val="BodyText"/>
      </w:pPr>
      <w:r>
        <w:t xml:space="preserve">Trust in software rests on five foundations: Reliability, Technical Competence, Understandability, Faith/Care, and Personal Attachment</w:t>
      </w:r>
      <w:r>
        <w:t xml:space="preserve"> </w:t>
      </w:r>
      <w:fldSimple w:instr="NOTEREF _Ref_Footnote_24 \h \f">
        <w:r>
          <w:rPr>
            <w:vertAlign w:val="superscript"/>
          </w:rPr>
          <w:t>24</w:t>
        </w:r>
      </w:fldSimple>
      <w:r>
        <w:t xml:space="preserve">. CRP Comply’s passkey authentication, HMAC-signed audit chains, and local LLM mode address Reliability and Technical Competence directly. Streaming responses that explain regulatory reasoning (</w:t>
      </w:r>
      <w:r>
        <w:t xml:space="preserve">“</w:t>
      </w:r>
      <w:r>
        <w:t xml:space="preserve">Checking Article 6(2)…</w:t>
      </w:r>
      <w:r>
        <w:t xml:space="preserve">”</w:t>
      </w:r>
      <w:r>
        <w:t xml:space="preserve">) address Understandability by making AI logic inspectable. Auto-save and draft protection demonstrate Faith by protecting the user’s work even when they err</w:t>
      </w:r>
      <w:r>
        <w:t xml:space="preserve"> </w:t>
      </w:r>
      <w:r>
        <w:rPr>
          <w:vertAlign w:val="superscript"/>
        </w:rPr>
        <w:footnoteReference w:id="37"/>
      </w:r>
      <w:r>
        <w:t xml:space="preserve">.</w:t>
      </w:r>
    </w:p>
    <w:bookmarkEnd w:id="28"/>
    <w:bookmarkStart w:id="32" w:name="variable-reward-and-endowed-progress"/>
    <w:p>
      <w:pPr>
        <w:pStyle w:val="Heading3"/>
      </w:pPr>
      <w:r>
        <w:t xml:space="preserve">1.5 Variable Reward and Endowed Progress</w:t>
      </w:r>
    </w:p>
    <w:p>
      <w:pPr>
        <w:pStyle w:val="FirstParagraph"/>
      </w:pPr>
      <w:r>
        <w:t xml:space="preserve">Skinner’s operant conditioning research established that variable-ratio schedules generate the highest, most persistent response rates because individuals become conditioned to the</w:t>
      </w:r>
      <w:r>
        <w:t xml:space="preserve"> </w:t>
      </w:r>
      <w:r>
        <w:rPr>
          <w:iCs/>
          <w:i/>
        </w:rPr>
        <w:t xml:space="preserve">anticipation</w:t>
      </w:r>
      <w:r>
        <w:t xml:space="preserve"> </w:t>
      </w:r>
      <w:r>
        <w:t xml:space="preserve">of reward</w:t>
      </w:r>
      <w:r>
        <w:t xml:space="preserve"> </w:t>
      </w:r>
      <w:r>
        <w:rPr>
          <w:vertAlign w:val="superscript"/>
        </w:rPr>
        <w:footnoteReference w:id="38"/>
      </w:r>
      <w:r>
        <w:t xml:space="preserve">. Schultz (1997) showed dopamine neurons respond most strongly to the</w:t>
      </w:r>
      <w:r>
        <w:t xml:space="preserve"> </w:t>
      </w:r>
      <w:r>
        <w:rPr>
          <w:iCs/>
          <w:i/>
        </w:rPr>
        <w:t xml:space="preserve">prediction</w:t>
      </w:r>
      <w:r>
        <w:t xml:space="preserve"> </w:t>
      </w:r>
      <w:r>
        <w:t xml:space="preserve">of an uncertain reward — dopamine is the</w:t>
      </w:r>
      <w:r>
        <w:t xml:space="preserve"> </w:t>
      </w:r>
      <w:r>
        <w:t xml:space="preserve">“</w:t>
      </w:r>
      <w:r>
        <w:t xml:space="preserve">wanting</w:t>
      </w:r>
      <w:r>
        <w:t xml:space="preserve">”</w:t>
      </w:r>
      <w:r>
        <w:t xml:space="preserve"> </w:t>
      </w:r>
      <w:r>
        <w:t xml:space="preserve">molecule, not the</w:t>
      </w:r>
      <w:r>
        <w:t xml:space="preserve"> </w:t>
      </w:r>
      <w:r>
        <w:t xml:space="preserve">“</w:t>
      </w:r>
      <w:r>
        <w:t xml:space="preserve">liking</w:t>
      </w:r>
      <w:r>
        <w:t xml:space="preserve">”</w:t>
      </w:r>
      <w:r>
        <w:t xml:space="preserve"> </w:t>
      </w:r>
      <w:r>
        <w:t xml:space="preserve">molecule</w:t>
      </w:r>
      <w:r>
        <w:t xml:space="preserve"> </w:t>
      </w:r>
      <w:r>
        <w:rPr>
          <w:vertAlign w:val="superscript"/>
        </w:rPr>
        <w:footnoteReference w:id="39"/>
      </w:r>
      <w:r>
        <w:t xml:space="preserve">. Eyal classifies variable rewards into three types</w:t>
      </w:r>
      <w:r>
        <w:t xml:space="preserve"> </w:t>
      </w:r>
      <w:fldSimple w:instr="NOTEREF _Ref_Footnote_39 \h \f">
        <w:r>
          <w:rPr>
            <w:vertAlign w:val="superscript"/>
          </w:rPr>
          <w:t>39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Reward Type</w:t>
            </w:r>
          </w:p>
        </w:tc>
        <w:tc>
          <w:tcPr/>
          <w:p>
            <w:pPr>
              <w:pStyle w:val="Compact"/>
              <w:jc w:val="left"/>
            </w:pPr>
            <w:r>
              <w:t xml:space="preserve">Core Drive</w:t>
            </w:r>
          </w:p>
        </w:tc>
        <w:tc>
          <w:tcPr/>
          <w:p>
            <w:pPr>
              <w:pStyle w:val="Compact"/>
              <w:jc w:val="left"/>
            </w:pPr>
            <w:r>
              <w:t xml:space="preserve">CRP Comply Implementation</w:t>
            </w:r>
          </w:p>
        </w:tc>
      </w:tr>
      <w:tr>
        <w:tc>
          <w:tcPr/>
          <w:p>
            <w:pPr>
              <w:pStyle w:val="Compact"/>
              <w:jc w:val="left"/>
            </w:pPr>
            <w:r>
              <w:t xml:space="preserve">Tribe (Social)</w:t>
            </w:r>
          </w:p>
        </w:tc>
        <w:tc>
          <w:tcPr/>
          <w:p>
            <w:pPr>
              <w:pStyle w:val="Compact"/>
              <w:jc w:val="left"/>
            </w:pPr>
            <w:r>
              <w:t xml:space="preserve">Social validation, belonging, recognition</w:t>
            </w:r>
          </w:p>
        </w:tc>
        <w:tc>
          <w:tcPr/>
          <w:p>
            <w:pPr>
              <w:pStyle w:val="Compact"/>
              <w:jc w:val="left"/>
            </w:pPr>
            <w:r>
              <w:t xml:space="preserve">Team dashboards showing shared compliance posture; anonymised industry benchmarks</w:t>
            </w:r>
            <w:r>
              <w:t xml:space="preserve"> </w:t>
            </w:r>
            <w:r>
              <w:rPr>
                <w:vertAlign w:val="superscript"/>
              </w:rPr>
              <w:footnoteReference w:id="40"/>
            </w:r>
          </w:p>
        </w:tc>
      </w:tr>
      <w:tr>
        <w:tc>
          <w:tcPr/>
          <w:p>
            <w:pPr>
              <w:pStyle w:val="Compact"/>
              <w:jc w:val="left"/>
            </w:pPr>
            <w:r>
              <w:t xml:space="preserve">Hunt (Material)</w:t>
            </w:r>
          </w:p>
        </w:tc>
        <w:tc>
          <w:tcPr/>
          <w:p>
            <w:pPr>
              <w:pStyle w:val="Compact"/>
              <w:jc w:val="left"/>
            </w:pPr>
            <w:r>
              <w:t xml:space="preserve">Discovery, acquisition, accumulation</w:t>
            </w:r>
          </w:p>
        </w:tc>
        <w:tc>
          <w:tcPr/>
          <w:p>
            <w:pPr>
              <w:pStyle w:val="Compact"/>
              <w:jc w:val="left"/>
            </w:pPr>
            <w:r>
              <w:t xml:space="preserve">“</w:t>
            </w:r>
            <w:r>
              <w:t xml:space="preserve">You found 3 new compliance gaps today</w:t>
            </w:r>
            <w:r>
              <w:t xml:space="preserve">”</w:t>
            </w:r>
            <w:r>
              <w:t xml:space="preserve">; AI surfaces non-obvious control correlations</w:t>
            </w:r>
          </w:p>
        </w:tc>
      </w:tr>
      <w:tr>
        <w:tc>
          <w:tcPr/>
          <w:p>
            <w:pPr>
              <w:pStyle w:val="Compact"/>
              <w:jc w:val="left"/>
            </w:pPr>
            <w:r>
              <w:t xml:space="preserve">Self (Mastery)</w:t>
            </w:r>
          </w:p>
        </w:tc>
        <w:tc>
          <w:tcPr/>
          <w:p>
            <w:pPr>
              <w:pStyle w:val="Compact"/>
              <w:jc w:val="left"/>
            </w:pPr>
            <w:r>
              <w:t xml:space="preserve">Competence, completion, skill</w:t>
            </w:r>
          </w:p>
        </w:tc>
        <w:tc>
          <w:tcPr/>
          <w:p>
            <w:pPr>
              <w:pStyle w:val="Compact"/>
              <w:jc w:val="left"/>
            </w:pPr>
            <w:r>
              <w:t xml:space="preserve">Progressive skill paths from basic EU AI Act to custom frameworks;</w:t>
            </w:r>
            <w:r>
              <w:t xml:space="preserve"> </w:t>
            </w:r>
            <w:r>
              <w:t xml:space="preserve">“</w:t>
            </w:r>
            <w:r>
              <w:t xml:space="preserve">Compliance Pro</w:t>
            </w:r>
            <w:r>
              <w:t xml:space="preserve">”</w:t>
            </w:r>
            <w:r>
              <w:t xml:space="preserve"> </w:t>
            </w:r>
            <w:r>
              <w:t xml:space="preserve">milestones</w:t>
            </w:r>
            <w:r>
              <w:t xml:space="preserve"> </w:t>
            </w:r>
            <w:fldSimple w:instr="NOTEREF _Ref_Footnote_28 \h \f">
              <w:r>
                <w:rPr>
                  <w:vertAlign w:val="superscript"/>
                </w:rPr>
                <w:t>28</w:t>
              </w:r>
            </w:fldSimple>
          </w:p>
        </w:tc>
      </w:tr>
    </w:tbl>
    <w:p>
      <w:pPr>
        <w:pStyle w:val="BodyText"/>
      </w:pPr>
      <w:r>
        <w:rPr>
          <w:iCs/>
          <w:i/>
        </w:rPr>
        <w:t xml:space="preserve">Table: Eyal’s three-category variable reward taxonomy applied to CRP Comply</w:t>
      </w:r>
      <w:r>
        <w:rPr>
          <w:iCs/>
          <w:i/>
        </w:rPr>
        <w:t xml:space="preserve"> </w:t>
      </w:r>
      <w:fldSimple w:instr="NOTEREF _Ref_Footnote_39 \h \f">
        <w:r>
          <w:rPr>
            <w:vertAlign w:val="superscript"/>
          </w:rPr>
          <w:t>39</w:t>
        </w:r>
      </w:fldSimple>
      <w:r>
        <w:rPr>
          <w:iCs/>
          <w:i/>
        </w:rPr>
        <w:t xml:space="preserve">.</w:t>
      </w:r>
    </w:p>
    <w:p>
      <w:pPr>
        <w:pStyle w:val="BodyText"/>
      </w:pPr>
      <w:r>
        <w:t xml:space="preserve">The endowed progress effect, demonstrated by Nunes and Dreze (2006), is equally actionable. Customers given a 10-stamp loyalty card with 2 stamps pre-filled (requiring 8 washes) showed a 34% completion rate versus 19% for those given an 8-stamp card starting at zero — nearly double for identical real effort</w:t>
      </w:r>
      <w:r>
        <w:t xml:space="preserve"> </w:t>
      </w:r>
      <w:fldSimple w:instr="NOTEREF _Ref_Footnote_7 \h \f">
        <w:r>
          <w:rPr>
            <w:vertAlign w:val="superscript"/>
          </w:rPr>
          <w:t>7</w:t>
        </w:r>
      </w:fldSimple>
      <w:r>
        <w:t xml:space="preserve">. The effect operates through three mechanisms: a shifted reference point (</w:t>
      </w:r>
      <w:r>
        <w:t xml:space="preserve">“</w:t>
      </w:r>
      <w:r>
        <w:t xml:space="preserve">already engaged</w:t>
      </w:r>
      <w:r>
        <w:t xml:space="preserve">”</w:t>
      </w:r>
      <w:r>
        <w:t xml:space="preserve"> </w:t>
      </w:r>
      <w:r>
        <w:t xml:space="preserve">rather than</w:t>
      </w:r>
      <w:r>
        <w:t xml:space="preserve"> </w:t>
      </w:r>
      <w:r>
        <w:t xml:space="preserve">“</w:t>
      </w:r>
      <w:r>
        <w:t xml:space="preserve">at zero</w:t>
      </w:r>
      <w:r>
        <w:t xml:space="preserve">”</w:t>
      </w:r>
      <w:r>
        <w:t xml:space="preserve">), behavioural consistency (the user becomes</w:t>
      </w:r>
      <w:r>
        <w:t xml:space="preserve"> </w:t>
      </w:r>
      <w:r>
        <w:t xml:space="preserve">“</w:t>
      </w:r>
      <w:r>
        <w:t xml:space="preserve">the kind of person who completes this</w:t>
      </w:r>
      <w:r>
        <w:t xml:space="preserve">”</w:t>
      </w:r>
      <w:r>
        <w:t xml:space="preserve">), and goal gradient acceleration (starting closer means faster subsequent effort)</w:t>
      </w:r>
      <w:r>
        <w:t xml:space="preserve"> </w:t>
      </w:r>
      <w:fldSimple w:instr="NOTEREF _Ref_Footnote_7 \h \f">
        <w:r>
          <w:rPr>
            <w:vertAlign w:val="superscript"/>
          </w:rPr>
          <w:t>7</w:t>
        </w:r>
      </w:fldSimple>
      <w:r>
        <w:t xml:space="preserve">. Meta-analyses confirm the effect: loyalty programmes (+50–100%), SaaS onboarding (+20–40%), multi-step forms (+15–35%), and online courses (+25–60%)</w:t>
      </w:r>
      <w:r>
        <w:t xml:space="preserve"> </w:t>
      </w:r>
      <w:fldSimple w:instr="NOTEREF _Ref_Footnote_7 \h \f">
        <w:r>
          <w:rPr>
            <w:vertAlign w:val="superscript"/>
          </w:rPr>
          <w:t>7</w:t>
        </w:r>
      </w:fldSimple>
      <w:r>
        <w:t xml:space="preserve">.</w:t>
      </w:r>
    </w:p>
    <w:p>
      <w:pPr>
        <w:pStyle w:val="CaptionedFigure"/>
      </w:pPr>
      <w:r>
        <w:drawing>
          <wp:inline>
            <wp:extent cx="5334000" cy="2345479"/>
            <wp:effectExtent b="0" l="0" r="0" t="0"/>
            <wp:docPr descr="Endowed Progress Effect: Car wash study results and meta-analytic evidence across five domains" title="" id="30" name="Picture"/>
            <a:graphic>
              <a:graphicData uri="http://schemas.openxmlformats.org/drawingml/2006/picture">
                <pic:pic>
                  <pic:nvPicPr>
                    <pic:cNvPr descr="fig_endowed_progress.png" id="31" name="Picture"/>
                    <pic:cNvPicPr>
                      <a:picLocks noChangeArrowheads="1" noChangeAspect="1"/>
                    </pic:cNvPicPr>
                  </pic:nvPicPr>
                  <pic:blipFill>
                    <a:blip r:embed="rId29"/>
                    <a:stretch>
                      <a:fillRect/>
                    </a:stretch>
                  </pic:blipFill>
                  <pic:spPr bwMode="auto">
                    <a:xfrm>
                      <a:off x="0" y="0"/>
                      <a:ext cx="5334000" cy="2345479"/>
                    </a:xfrm>
                    <a:prstGeom prst="rect">
                      <a:avLst/>
                    </a:prstGeom>
                    <a:noFill/>
                    <a:ln w="9525">
                      <a:noFill/>
                      <a:headEnd/>
                      <a:tailEnd/>
                    </a:ln>
                  </pic:spPr>
                </pic:pic>
              </a:graphicData>
            </a:graphic>
          </wp:inline>
        </w:drawing>
      </w:r>
    </w:p>
    <w:p>
      <w:pPr>
        <w:pStyle w:val="ImageCaption"/>
      </w:pPr>
      <w:r>
        <w:t xml:space="preserve">Endowed Progress Effect: Car wash study results and meta-analytic evidence across five domains</w:t>
      </w:r>
    </w:p>
    <w:p>
      <w:pPr>
        <w:pStyle w:val="BodyText"/>
      </w:pPr>
      <w:r>
        <w:rPr>
          <w:iCs/>
          <w:i/>
        </w:rPr>
        <w:t xml:space="preserve">Figure: Left panel — Nunes and Dreze’s (2006) original study: 34% completion with endowed progress versus 19% without, a 79% relative improvement</w:t>
      </w:r>
      <w:r>
        <w:rPr>
          <w:iCs/>
          <w:i/>
        </w:rPr>
        <w:t xml:space="preserve"> </w:t>
      </w:r>
      <w:fldSimple w:instr="NOTEREF _Ref_Footnote_7 \h \f">
        <w:r>
          <w:rPr>
            <w:vertAlign w:val="superscript"/>
          </w:rPr>
          <w:t>7</w:t>
        </w:r>
      </w:fldSimple>
      <w:r>
        <w:rPr>
          <w:iCs/>
          <w:i/>
        </w:rPr>
        <w:t xml:space="preserve">. Right panel — meta-analytic completion rate lifts across five domains</w:t>
      </w:r>
      <w:r>
        <w:rPr>
          <w:iCs/>
          <w:i/>
        </w:rPr>
        <w:t xml:space="preserve"> </w:t>
      </w:r>
      <w:fldSimple w:instr="NOTEREF _Ref_Footnote_7 \h \f">
        <w:r>
          <w:rPr>
            <w:vertAlign w:val="superscript"/>
          </w:rPr>
          <w:t>7</w:t>
        </w:r>
      </w:fldSimple>
      <w:r>
        <w:rPr>
          <w:iCs/>
          <w:i/>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Psychological Principle</w:t>
            </w:r>
          </w:p>
        </w:tc>
        <w:tc>
          <w:tcPr/>
          <w:p>
            <w:pPr>
              <w:pStyle w:val="Compact"/>
              <w:jc w:val="left"/>
            </w:pPr>
            <w:r>
              <w:t xml:space="preserve">CRP Comply Design Action</w:t>
            </w:r>
          </w:p>
        </w:tc>
        <w:tc>
          <w:tcPr/>
          <w:p>
            <w:pPr>
              <w:pStyle w:val="Compact"/>
              <w:jc w:val="left"/>
            </w:pPr>
            <w:r>
              <w:t xml:space="preserve">Expected Impact</w:t>
            </w:r>
          </w:p>
        </w:tc>
      </w:tr>
      <w:tr>
        <w:tc>
          <w:tcPr/>
          <w:p>
            <w:pPr>
              <w:pStyle w:val="Compact"/>
              <w:jc w:val="left"/>
            </w:pPr>
            <w:r>
              <w:t xml:space="preserve">Dopamine prediction error</w:t>
            </w:r>
            <w:r>
              <w:t xml:space="preserve"> </w:t>
            </w:r>
            <w:fldSimple w:instr="NOTEREF _Ref_Footnote_25 \h \f">
              <w:r>
                <w:rPr>
                  <w:vertAlign w:val="superscript"/>
                </w:rPr>
                <w:t>25</w:t>
              </w:r>
            </w:fldSimple>
          </w:p>
        </w:tc>
        <w:tc>
          <w:tcPr/>
          <w:p>
            <w:pPr>
              <w:pStyle w:val="Compact"/>
              <w:jc w:val="left"/>
            </w:pPr>
            <w:r>
              <w:t xml:space="preserve">AI surfaces non-obvious regulatory correlations</w:t>
            </w:r>
          </w:p>
        </w:tc>
        <w:tc>
          <w:tcPr/>
          <w:p>
            <w:pPr>
              <w:pStyle w:val="Compact"/>
              <w:jc w:val="left"/>
            </w:pPr>
            <w:r>
              <w:t xml:space="preserve">Higher session frequency; tool feels</w:t>
            </w:r>
            <w:r>
              <w:t xml:space="preserve"> </w:t>
            </w:r>
            <w:r>
              <w:t xml:space="preserve">“</w:t>
            </w:r>
            <w:r>
              <w:t xml:space="preserve">smarter</w:t>
            </w:r>
            <w:r>
              <w:t xml:space="preserve">”</w:t>
            </w:r>
            <w:r>
              <w:t xml:space="preserve"> </w:t>
            </w:r>
            <w:r>
              <w:t xml:space="preserve">over time</w:t>
            </w:r>
          </w:p>
        </w:tc>
      </w:tr>
      <w:tr>
        <w:tc>
          <w:tcPr/>
          <w:p>
            <w:pPr>
              <w:pStyle w:val="Compact"/>
              <w:jc w:val="left"/>
            </w:pPr>
            <w:r>
              <w:t xml:space="preserve">Flow state channel</w:t>
            </w:r>
            <w:r>
              <w:t xml:space="preserve"> </w:t>
            </w:r>
            <w:fldSimple w:instr="NOTEREF _Ref_Footnote_26 \h \f">
              <w:r>
                <w:rPr>
                  <w:vertAlign w:val="superscript"/>
                </w:rPr>
                <w:t>26</w:t>
              </w:r>
            </w:fldSimple>
          </w:p>
        </w:tc>
        <w:tc>
          <w:tcPr/>
          <w:p>
            <w:pPr>
              <w:pStyle w:val="Compact"/>
              <w:jc w:val="left"/>
            </w:pPr>
            <w:r>
              <w:t xml:space="preserve">Adaptive difficulty: wizards for novices, CLI for experts</w:t>
            </w:r>
          </w:p>
        </w:tc>
        <w:tc>
          <w:tcPr/>
          <w:p>
            <w:pPr>
              <w:pStyle w:val="Compact"/>
              <w:jc w:val="left"/>
            </w:pPr>
            <w:r>
              <w:t xml:space="preserve">Longer sessions; higher task completion</w:t>
            </w:r>
          </w:p>
        </w:tc>
      </w:tr>
      <w:tr>
        <w:tc>
          <w:tcPr/>
          <w:p>
            <w:pPr>
              <w:pStyle w:val="Compact"/>
              <w:jc w:val="left"/>
            </w:pPr>
            <w:r>
              <w:t xml:space="preserve">Progressive disclosure</w:t>
            </w:r>
            <w:r>
              <w:t xml:space="preserve"> </w:t>
            </w:r>
            <w:fldSimple w:instr="NOTEREF _Ref_Footnote_31 \h \f">
              <w:r>
                <w:rPr>
                  <w:vertAlign w:val="superscript"/>
                </w:rPr>
                <w:t>31</w:t>
              </w:r>
            </w:fldSimple>
          </w:p>
        </w:tc>
        <w:tc>
          <w:tcPr/>
          <w:p>
            <w:pPr>
              <w:pStyle w:val="Compact"/>
              <w:jc w:val="left"/>
            </w:pPr>
            <w:r>
              <w:t xml:space="preserve">Step-by-step audit wizards; advanced options conditionally revealed</w:t>
            </w:r>
          </w:p>
        </w:tc>
        <w:tc>
          <w:tcPr/>
          <w:p>
            <w:pPr>
              <w:pStyle w:val="Compact"/>
              <w:jc w:val="left"/>
            </w:pPr>
            <w:r>
              <w:t xml:space="preserve">Reduced mid-audit abandonment</w:t>
            </w:r>
          </w:p>
        </w:tc>
      </w:tr>
      <w:tr>
        <w:tc>
          <w:tcPr/>
          <w:p>
            <w:pPr>
              <w:pStyle w:val="Compact"/>
              <w:jc w:val="left"/>
            </w:pPr>
            <w:r>
              <w:t xml:space="preserve">Optimistic UI</w:t>
            </w:r>
            <w:r>
              <w:t xml:space="preserve"> </w:t>
            </w:r>
            <w:fldSimple w:instr="NOTEREF _Ref_Footnote_29 \h \f">
              <w:r>
                <w:rPr>
                  <w:vertAlign w:val="superscript"/>
                </w:rPr>
                <w:t>29</w:t>
              </w:r>
            </w:fldSimple>
          </w:p>
        </w:tc>
        <w:tc>
          <w:tcPr/>
          <w:p>
            <w:pPr>
              <w:pStyle w:val="Compact"/>
              <w:jc w:val="left"/>
            </w:pPr>
            <w:r>
              <w:t xml:space="preserve">Instant visual feedback; streaming output</w:t>
            </w:r>
          </w:p>
        </w:tc>
        <w:tc>
          <w:tcPr/>
          <w:p>
            <w:pPr>
              <w:pStyle w:val="Compact"/>
              <w:jc w:val="left"/>
            </w:pPr>
            <w:r>
              <w:t xml:space="preserve">Perceived performance feels instant</w:t>
            </w:r>
          </w:p>
        </w:tc>
      </w:tr>
      <w:tr>
        <w:tc>
          <w:tcPr/>
          <w:p>
            <w:pPr>
              <w:pStyle w:val="Compact"/>
              <w:jc w:val="left"/>
            </w:pPr>
            <w:r>
              <w:t xml:space="preserve">Peak-End Rule</w:t>
            </w:r>
            <w:r>
              <w:t xml:space="preserve"> </w:t>
            </w:r>
            <w:fldSimple w:instr="NOTEREF _Ref_Footnote_36 \h \f">
              <w:r>
                <w:rPr>
                  <w:vertAlign w:val="superscript"/>
                </w:rPr>
                <w:t>36</w:t>
              </w:r>
            </w:fldSimple>
          </w:p>
        </w:tc>
        <w:tc>
          <w:tcPr/>
          <w:p>
            <w:pPr>
              <w:pStyle w:val="Compact"/>
              <w:jc w:val="left"/>
            </w:pPr>
            <w:r>
              <w:t xml:space="preserve">Celebrate audit completion; session ends with summary and next steps</w:t>
            </w:r>
          </w:p>
        </w:tc>
        <w:tc>
          <w:tcPr/>
          <w:p>
            <w:pPr>
              <w:pStyle w:val="Compact"/>
              <w:jc w:val="left"/>
            </w:pPr>
            <w:r>
              <w:t xml:space="preserve">Positive memory; higher return rate</w:t>
            </w:r>
          </w:p>
        </w:tc>
      </w:tr>
      <w:tr>
        <w:tc>
          <w:tcPr/>
          <w:p>
            <w:pPr>
              <w:pStyle w:val="Compact"/>
              <w:jc w:val="left"/>
            </w:pPr>
            <w:r>
              <w:t xml:space="preserve">Endowed progress</w:t>
            </w:r>
            <w:r>
              <w:t xml:space="preserve"> </w:t>
            </w:r>
            <w:fldSimple w:instr="NOTEREF _Ref_Footnote_7 \h \f">
              <w:r>
                <w:rPr>
                  <w:vertAlign w:val="superscript"/>
                </w:rPr>
                <w:t>7</w:t>
              </w:r>
            </w:fldSimple>
          </w:p>
        </w:tc>
        <w:tc>
          <w:tcPr/>
          <w:p>
            <w:pPr>
              <w:pStyle w:val="Compact"/>
              <w:jc w:val="left"/>
            </w:pPr>
            <w:r>
              <w:t xml:space="preserve">Pre-fill onboarding (auto-detect cloud configs);</w:t>
            </w:r>
            <w:r>
              <w:t xml:space="preserve"> </w:t>
            </w:r>
            <w:r>
              <w:t xml:space="preserve">“</w:t>
            </w:r>
            <w:r>
              <w:t xml:space="preserve">2 of 5 steps done</w:t>
            </w:r>
            <w:r>
              <w:t xml:space="preserve">”</w:t>
            </w:r>
          </w:p>
        </w:tc>
        <w:tc>
          <w:tcPr/>
          <w:p>
            <w:pPr>
              <w:pStyle w:val="Compact"/>
              <w:jc w:val="left"/>
            </w:pPr>
            <w:r>
              <w:t xml:space="preserve">50–100% completion improvement</w:t>
            </w:r>
          </w:p>
        </w:tc>
      </w:tr>
      <w:tr>
        <w:tc>
          <w:tcPr/>
          <w:p>
            <w:pPr>
              <w:pStyle w:val="Compact"/>
              <w:jc w:val="left"/>
            </w:pPr>
            <w:r>
              <w:t xml:space="preserve">Variable reward</w:t>
            </w:r>
            <w:r>
              <w:t xml:space="preserve"> </w:t>
            </w:r>
            <w:fldSimple w:instr="NOTEREF _Ref_Footnote_39 \h \f">
              <w:r>
                <w:rPr>
                  <w:vertAlign w:val="superscript"/>
                </w:rPr>
                <w:t>39</w:t>
              </w:r>
            </w:fldSimple>
          </w:p>
        </w:tc>
        <w:tc>
          <w:tcPr/>
          <w:p>
            <w:pPr>
              <w:pStyle w:val="Compact"/>
              <w:jc w:val="left"/>
            </w:pPr>
            <w:r>
              <w:t xml:space="preserve">AI occasionally surfaces surprise insights</w:t>
            </w:r>
          </w:p>
        </w:tc>
        <w:tc>
          <w:tcPr/>
          <w:p>
            <w:pPr>
              <w:pStyle w:val="Compact"/>
              <w:jc w:val="left"/>
            </w:pPr>
            <w:r>
              <w:t xml:space="preserve">Sustained engagement without compulsion</w:t>
            </w:r>
          </w:p>
        </w:tc>
      </w:tr>
      <w:tr>
        <w:tc>
          <w:tcPr/>
          <w:p>
            <w:pPr>
              <w:pStyle w:val="Compact"/>
              <w:jc w:val="left"/>
            </w:pPr>
            <w:r>
              <w:t xml:space="preserve">Loss aversion</w:t>
            </w:r>
            <w:r>
              <w:t xml:space="preserve"> </w:t>
            </w:r>
            <w:fldSimple w:instr="NOTEREF _Ref_Footnote_37 \h \f">
              <w:r>
                <w:rPr>
                  <w:vertAlign w:val="superscript"/>
                </w:rPr>
                <w:t>37</w:t>
              </w:r>
            </w:fldSimple>
          </w:p>
        </w:tc>
        <w:tc>
          <w:tcPr/>
          <w:p>
            <w:pPr>
              <w:pStyle w:val="Compact"/>
              <w:jc w:val="left"/>
            </w:pPr>
            <w:r>
              <w:t xml:space="preserve">Auto-save all work; undo for destructive actions</w:t>
            </w:r>
          </w:p>
        </w:tc>
        <w:tc>
          <w:tcPr/>
          <w:p>
            <w:pPr>
              <w:pStyle w:val="Compact"/>
              <w:jc w:val="left"/>
            </w:pPr>
            <w:r>
              <w:t xml:space="preserve">Reduced anxiety; higher experimentation</w:t>
            </w:r>
          </w:p>
        </w:tc>
      </w:tr>
    </w:tbl>
    <w:p>
      <w:pPr>
        <w:pStyle w:val="BodyText"/>
      </w:pPr>
      <w:r>
        <w:rPr>
          <w:iCs/>
          <w:i/>
        </w:rPr>
        <w:t xml:space="preserve">Table: Eight psychological principles translated into actionable CRP Comply implementations with measurable expected outcomes.</w:t>
      </w:r>
    </w:p>
    <w:p>
      <w:pPr>
        <w:pStyle w:val="BodyText"/>
      </w:pPr>
      <w:r>
        <w:t xml:space="preserve">For CRP Comply, endowed progress is straightforward to implement and high-impact: start onboarding at 20–30% profile completeness by auto-detecting existing cloud configurations; display</w:t>
      </w:r>
      <w:r>
        <w:t xml:space="preserve"> </w:t>
      </w:r>
      <w:r>
        <w:t xml:space="preserve">“</w:t>
      </w:r>
      <w:r>
        <w:t xml:space="preserve">You’ve already completed 30% — auto-detected controls from your cloud provider</w:t>
      </w:r>
      <w:r>
        <w:t xml:space="preserve">”</w:t>
      </w:r>
      <w:r>
        <w:t xml:space="preserve"> </w:t>
      </w:r>
      <w:r>
        <w:t xml:space="preserve">on first audit; pre-populate evidence fields from existing documentation. Combined with the 90% churn rate among SaaS users who see no value in their first week</w:t>
      </w:r>
      <w:r>
        <w:t xml:space="preserve"> </w:t>
      </w:r>
      <w:fldSimple w:instr="NOTEREF _Ref_Footnote_1 \h \f">
        <w:r>
          <w:rPr>
            <w:vertAlign w:val="superscript"/>
          </w:rPr>
          <w:t>1</w:t>
        </w:r>
      </w:fldSimple>
      <w:r>
        <w:t xml:space="preserve">and the 37.5% average activation rate that leaves two-thirds of signups never experiencing core product value</w:t>
      </w:r>
      <w:r>
        <w:t xml:space="preserve"> </w:t>
      </w:r>
      <w:fldSimple w:instr="NOTEREF _Ref_Footnote_3 \h \f">
        <w:r>
          <w:rPr>
            <w:vertAlign w:val="superscript"/>
          </w:rPr>
          <w:t>3</w:t>
        </w:r>
      </w:fldSimple>
      <w:r>
        <w:t xml:space="preserve">, the endowed progress effect is not a marginal optimisation. It is a structural requirement for survival in a market where users evaluate competing tools simultaneously in parallel browser tabs</w:t>
      </w:r>
      <w:r>
        <w:t xml:space="preserve"> </w:t>
      </w:r>
      <w:fldSimple w:instr="NOTEREF _Ref_Footnote_1 \h \f">
        <w:r>
          <w:rPr>
            <w:vertAlign w:val="superscript"/>
          </w:rPr>
          <w:t>1</w:t>
        </w:r>
      </w:fldSimple>
      <w:r>
        <w:t xml:space="preserve">.</w:t>
      </w:r>
    </w:p>
    <w:p>
      <w:pPr>
        <w:pStyle w:val="BodyText"/>
      </w:pPr>
      <w:r>
        <w:t xml:space="preserve">The ethical guardrail applies across all mechanisms: variable rewards must deliver genuine audit value, not manufactured intensity; endowed progress must reflect actual pre-completed work, not fictional advancement; the Peak-End Rule must make genuinely good experiences memorable, not disguise mediocre ones</w:t>
      </w:r>
      <w:r>
        <w:t xml:space="preserve"> </w:t>
      </w:r>
      <w:fldSimple w:instr="NOTEREF _Ref_Footnote_36 \h \f">
        <w:r>
          <w:rPr>
            <w:vertAlign w:val="superscript"/>
          </w:rPr>
          <w:t>36</w:t>
        </w:r>
      </w:fldSimple>
      <w:r>
        <w:t xml:space="preserve">. The goal is not more time in the product. It is productive, effortless time that feels genuinely rewarding when the audit passes.</w:t>
      </w:r>
    </w:p>
    <w:p>
      <w:r>
        <w:pict>
          <v:rect style="width:0;height:1.5pt" o:hralign="center" o:hrstd="t" o:hr="t"/>
        </w:pict>
      </w:r>
    </w:p>
    <w:bookmarkEnd w:id="32"/>
    <w:bookmarkEnd w:id="33"/>
    <w:bookmarkStart w:id="42" w:name="real-time-ui-perceived-performance"/>
    <w:p>
      <w:pPr>
        <w:pStyle w:val="Heading2"/>
      </w:pPr>
      <w:r>
        <w:t xml:space="preserve">2. Real-Time UI &amp; Perceived Performance</w:t>
      </w:r>
    </w:p>
    <w:p>
      <w:pPr>
        <w:pStyle w:val="FirstParagraph"/>
      </w:pPr>
      <w:r>
        <w:t xml:space="preserve">The gap between what users</w:t>
      </w:r>
      <w:r>
        <w:t xml:space="preserve"> </w:t>
      </w:r>
      <w:r>
        <w:rPr>
          <w:iCs/>
          <w:i/>
        </w:rPr>
        <w:t xml:space="preserve">feel</w:t>
      </w:r>
      <w:r>
        <w:t xml:space="preserve"> </w:t>
      </w:r>
      <w:r>
        <w:t xml:space="preserve">and what benchmarks</w:t>
      </w:r>
      <w:r>
        <w:t xml:space="preserve"> </w:t>
      </w:r>
      <w:r>
        <w:rPr>
          <w:iCs/>
          <w:i/>
        </w:rPr>
        <w:t xml:space="preserve">measure</w:t>
      </w:r>
      <w:r>
        <w:t xml:space="preserve"> </w:t>
      </w:r>
      <w:r>
        <w:t xml:space="preserve">is the single most important insight for frontend architecture. Google’s 2024 Core Web Vitals research established that perceived performance drives 67% of user satisfaction scores, whereas raw speed improvements contribute only 28%</w:t>
      </w:r>
      <w:r>
        <w:t xml:space="preserve"> </w:t>
      </w:r>
      <w:fldSimple w:instr="NOTEREF _Ref_Footnote_5 \h \f">
        <w:r>
          <w:rPr>
            <w:vertAlign w:val="superscript"/>
          </w:rPr>
          <w:t>5</w:t>
        </w:r>
      </w:fldSimple>
      <w:r>
        <w:t xml:space="preserve">. For CRP Comply—a platform where compliance professionals generate regulatory documents, stream AI reasoning, and manage audit evidence—this distinction is not academic. A skeleton screen that reduces perceived load time by 67% delivers more satisfaction value than shaving 200ms off a database query</w:t>
      </w:r>
      <w:r>
        <w:t xml:space="preserve"> </w:t>
      </w:r>
      <w:r>
        <w:rPr>
          <w:vertAlign w:val="superscript"/>
        </w:rPr>
        <w:footnoteReference w:id="41"/>
      </w:r>
      <w:r>
        <w:t xml:space="preserve">. This chapter examines the frontend techniques that create the</w:t>
      </w:r>
      <w:r>
        <w:t xml:space="preserve"> </w:t>
      </w:r>
      <w:r>
        <w:rPr>
          <w:iCs/>
          <w:i/>
        </w:rPr>
        <w:t xml:space="preserve">feeling</w:t>
      </w:r>
      <w:r>
        <w:t xml:space="preserve"> </w:t>
      </w:r>
      <w:r>
        <w:t xml:space="preserve">of speed and responsiveness, grounding each pattern in measurable satisfaction outcomes.</w:t>
      </w:r>
    </w:p>
    <w:bookmarkStart w:id="37" w:name="X0261f81d6dbf7d6112d906aec83751ab023affb"/>
    <w:p>
      <w:pPr>
        <w:pStyle w:val="Heading3"/>
      </w:pPr>
      <w:r>
        <w:t xml:space="preserve">2.1 The 100ms Rule &amp; Perceived vs Actual Performance</w:t>
      </w:r>
    </w:p>
    <w:p>
      <w:pPr>
        <w:pStyle w:val="FirstParagraph"/>
      </w:pPr>
      <w:r>
        <w:t xml:space="preserve">Human perception of latency follows a well-documented threshold model. Operations completing in under 100ms feel instant; responses between 100-400ms feel fast but noticeable; delays exceeding two seconds feel slow and trigger abandonment behaviour</w:t>
      </w:r>
      <w:r>
        <w:t xml:space="preserve"> </w:t>
      </w:r>
      <w:fldSimple w:instr="NOTEREF _Ref_Footnote_5 \h \f">
        <w:r>
          <w:rPr>
            <w:vertAlign w:val="superscript"/>
          </w:rPr>
          <w:t>5</w:t>
        </w:r>
      </w:fldSimple>
      <w:r>
        <w:t xml:space="preserve">. For compliance work—where users submit complex queries like</w:t>
      </w:r>
      <w:r>
        <w:t xml:space="preserve"> </w:t>
      </w:r>
      <w:r>
        <w:t xml:space="preserve">“</w:t>
      </w:r>
      <w:r>
        <w:t xml:space="preserve">Generate an Annex IV technical documentation package for my high-risk AI system</w:t>
      </w:r>
      <w:r>
        <w:t xml:space="preserve">”</w:t>
      </w:r>
      <w:r>
        <w:t xml:space="preserve">—backend processing can legitimately require seconds. The frontend’s job is to ensure the user never experiences that wait as dead time.</w:t>
      </w:r>
    </w:p>
    <w:p>
      <w:pPr>
        <w:pStyle w:val="BodyText"/>
      </w:pPr>
      <w:r>
        <w:t xml:space="preserve">The divergence between perceived and actual performance is striking. Table 1 summarises six frontend techniques and their dual impact: the perceived satisfaction lift they create (measured through user-reported satisfaction scores and bounce-rate reduction) versus the raw speed improvement they deliver (measured through Lighthouse metrics and load-time reduction).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Perceived Satisfaction Impact</w:t>
            </w:r>
          </w:p>
        </w:tc>
        <w:tc>
          <w:tcPr/>
          <w:p>
            <w:pPr>
              <w:pStyle w:val="Compact"/>
              <w:jc w:val="left"/>
            </w:pPr>
            <w:r>
              <w:t xml:space="preserve">Actual Speed Improvement</w:t>
            </w:r>
          </w:p>
        </w:tc>
        <w:tc>
          <w:tcPr/>
          <w:p>
            <w:pPr>
              <w:pStyle w:val="Compact"/>
              <w:jc w:val="left"/>
            </w:pPr>
            <w:r>
              <w:t xml:space="preserve">Primary Mechanism</w:t>
            </w:r>
          </w:p>
        </w:tc>
        <w:tc>
          <w:tcPr/>
          <w:p>
            <w:pPr>
              <w:pStyle w:val="Compact"/>
              <w:jc w:val="left"/>
            </w:pPr>
            <w:r>
              <w:t xml:space="preserve">Evidence Source</w:t>
            </w:r>
          </w:p>
        </w:tc>
      </w:tr>
      <w:tr>
        <w:tc>
          <w:tcPr/>
          <w:p>
            <w:pPr>
              <w:pStyle w:val="Compact"/>
              <w:jc w:val="left"/>
            </w:pPr>
            <w:r>
              <w:t xml:space="preserve">Skeleton screens</w:t>
            </w:r>
          </w:p>
        </w:tc>
        <w:tc>
          <w:tcPr/>
          <w:p>
            <w:pPr>
              <w:pStyle w:val="Compact"/>
              <w:jc w:val="left"/>
            </w:pPr>
            <w:r>
              <w:t xml:space="preserve">67% perceived load-time reduction</w:t>
            </w:r>
            <w:r>
              <w:t xml:space="preserve"> </w:t>
            </w:r>
            <w:fldSimple w:instr="NOTEREF _Ref_Footnote_41 \h \f">
              <w:r>
                <w:rPr>
                  <w:vertAlign w:val="superscript"/>
                </w:rPr>
                <w:t>41</w:t>
              </w:r>
            </w:fldSimple>
          </w:p>
        </w:tc>
        <w:tc>
          <w:tcPr/>
          <w:p>
            <w:pPr>
              <w:pStyle w:val="Compact"/>
              <w:jc w:val="left"/>
            </w:pPr>
            <w:r>
              <w:t xml:space="preserve">12% faster TTI</w:t>
            </w:r>
            <w:r>
              <w:t xml:space="preserve"> </w:t>
            </w:r>
            <w:fldSimple w:instr="NOTEREF _Ref_Footnote_41 \h \f">
              <w:r>
                <w:rPr>
                  <w:vertAlign w:val="superscript"/>
                </w:rPr>
                <w:t>41</w:t>
              </w:r>
            </w:fldSimple>
          </w:p>
        </w:tc>
        <w:tc>
          <w:tcPr/>
          <w:p>
            <w:pPr>
              <w:pStyle w:val="Compact"/>
              <w:jc w:val="left"/>
            </w:pPr>
            <w:r>
              <w:t xml:space="preserve">Reserves visual space, eliminates blank-screen anxiety</w:t>
            </w:r>
          </w:p>
        </w:tc>
        <w:tc>
          <w:tcPr/>
          <w:p>
            <w:pPr>
              <w:pStyle w:val="Compact"/>
              <w:jc w:val="left"/>
            </w:pPr>
            <w:r>
              <w:t xml:space="preserve">Google/NNG bounce-rate study</w:t>
            </w:r>
            <w:r>
              <w:t xml:space="preserve"> </w:t>
            </w:r>
            <w:fldSimple w:instr="NOTEREF _Ref_Footnote_12 \h \f">
              <w:r>
                <w:rPr>
                  <w:vertAlign w:val="superscript"/>
                </w:rPr>
                <w:t>12</w:t>
              </w:r>
            </w:fldSimple>
          </w:p>
        </w:tc>
      </w:tr>
      <w:tr>
        <w:tc>
          <w:tcPr/>
          <w:p>
            <w:pPr>
              <w:pStyle w:val="Compact"/>
              <w:jc w:val="left"/>
            </w:pPr>
            <w:r>
              <w:t xml:space="preserve">Optimistic UI</w:t>
            </w:r>
          </w:p>
        </w:tc>
        <w:tc>
          <w:tcPr/>
          <w:p>
            <w:pPr>
              <w:pStyle w:val="Compact"/>
              <w:jc w:val="left"/>
            </w:pPr>
            <w:r>
              <w:t xml:space="preserve">55% satisfaction lift from</w:t>
            </w:r>
            <w:r>
              <w:t xml:space="preserve"> </w:t>
            </w:r>
            <w:r>
              <w:t xml:space="preserve">“</w:t>
            </w:r>
            <w:r>
              <w:t xml:space="preserve">instant</w:t>
            </w:r>
            <w:r>
              <w:t xml:space="preserve">”</w:t>
            </w:r>
            <w:r>
              <w:t xml:space="preserve"> </w:t>
            </w:r>
            <w:r>
              <w:t xml:space="preserve">feedback</w:t>
            </w:r>
            <w:r>
              <w:t xml:space="preserve"> </w:t>
            </w:r>
            <w:r>
              <w:rPr>
                <w:vertAlign w:val="superscript"/>
              </w:rPr>
              <w:footnoteReference w:id="42"/>
            </w:r>
          </w:p>
        </w:tc>
        <w:tc>
          <w:tcPr/>
          <w:p>
            <w:pPr>
              <w:pStyle w:val="Compact"/>
              <w:jc w:val="left"/>
            </w:pPr>
            <w:r>
              <w:t xml:space="preserve">5% (no real speed gain)</w:t>
            </w:r>
          </w:p>
        </w:tc>
        <w:tc>
          <w:tcPr/>
          <w:p>
            <w:pPr>
              <w:pStyle w:val="Compact"/>
              <w:jc w:val="left"/>
            </w:pPr>
            <w:r>
              <w:t xml:space="preserve">Shows result before server confirms, decouples feedback from latency</w:t>
            </w:r>
          </w:p>
        </w:tc>
        <w:tc>
          <w:tcPr/>
          <w:p>
            <w:pPr>
              <w:pStyle w:val="Compact"/>
              <w:jc w:val="left"/>
            </w:pPr>
            <w:r>
              <w:t xml:space="preserve">React 19 useOptimistic docs</w:t>
            </w:r>
            <w:r>
              <w:t xml:space="preserve"> </w:t>
            </w:r>
            <w:r>
              <w:rPr>
                <w:vertAlign w:val="superscript"/>
              </w:rPr>
              <w:footnoteReference w:id="43"/>
            </w:r>
          </w:p>
        </w:tc>
      </w:tr>
      <w:tr>
        <w:tc>
          <w:tcPr/>
          <w:p>
            <w:pPr>
              <w:pStyle w:val="Compact"/>
              <w:jc w:val="left"/>
            </w:pPr>
            <w:r>
              <w:t xml:space="preserve">Streaming SSR</w:t>
            </w:r>
          </w:p>
        </w:tc>
        <w:tc>
          <w:tcPr/>
          <w:p>
            <w:pPr>
              <w:pStyle w:val="Compact"/>
              <w:jc w:val="left"/>
            </w:pPr>
            <w:r>
              <w:t xml:space="preserve">45% perceived speedup from progressive paint</w:t>
            </w:r>
            <w:r>
              <w:t xml:space="preserve"> </w:t>
            </w:r>
            <w:r>
              <w:rPr>
                <w:vertAlign w:val="superscript"/>
              </w:rPr>
              <w:footnoteReference w:id="44"/>
            </w:r>
          </w:p>
        </w:tc>
        <w:tc>
          <w:tcPr/>
          <w:p>
            <w:pPr>
              <w:pStyle w:val="Compact"/>
              <w:jc w:val="left"/>
            </w:pPr>
            <w:r>
              <w:t xml:space="preserve">25% faster LCP</w:t>
            </w:r>
            <w:r>
              <w:t xml:space="preserve"> </w:t>
            </w:r>
            <w:r>
              <w:rPr>
                <w:vertAlign w:val="superscript"/>
              </w:rPr>
              <w:footnoteReference w:id="45"/>
            </w:r>
          </w:p>
        </w:tc>
        <w:tc>
          <w:tcPr/>
          <w:p>
            <w:pPr>
              <w:pStyle w:val="Compact"/>
              <w:jc w:val="left"/>
            </w:pPr>
            <w:r>
              <w:t xml:space="preserve">Critical content renders first, non-critical streams in</w:t>
            </w:r>
          </w:p>
        </w:tc>
        <w:tc>
          <w:tcPr/>
          <w:p>
            <w:pPr>
              <w:pStyle w:val="Compact"/>
              <w:jc w:val="left"/>
            </w:pPr>
            <w:r>
              <w:t xml:space="preserve">Patterns.dev streaming analysis</w:t>
            </w:r>
            <w:r>
              <w:t xml:space="preserve"> </w:t>
            </w:r>
            <w:fldSimple w:instr="NOTEREF _Ref_Footnote_45 \h \f">
              <w:r>
                <w:rPr>
                  <w:vertAlign w:val="superscript"/>
                </w:rPr>
                <w:t>45</w:t>
              </w:r>
            </w:fldSimple>
          </w:p>
        </w:tc>
      </w:tr>
      <w:tr>
        <w:tc>
          <w:tcPr/>
          <w:p>
            <w:pPr>
              <w:pStyle w:val="Compact"/>
              <w:jc w:val="left"/>
            </w:pPr>
            <w:r>
              <w:t xml:space="preserve">Partial Prerendering</w:t>
            </w:r>
          </w:p>
        </w:tc>
        <w:tc>
          <w:tcPr/>
          <w:p>
            <w:pPr>
              <w:pStyle w:val="Compact"/>
              <w:jc w:val="left"/>
            </w:pPr>
            <w:r>
              <w:t xml:space="preserve">40% satisfaction gain from instant shell</w:t>
            </w:r>
            <w:r>
              <w:t xml:space="preserve"> </w:t>
            </w:r>
            <w:r>
              <w:rPr>
                <w:vertAlign w:val="superscript"/>
              </w:rPr>
              <w:footnoteReference w:id="46"/>
            </w:r>
          </w:p>
        </w:tc>
        <w:tc>
          <w:tcPr/>
          <w:p>
            <w:pPr>
              <w:pStyle w:val="Compact"/>
              <w:jc w:val="left"/>
            </w:pPr>
            <w:r>
              <w:t xml:space="preserve">35% TTFB reduction (5-20ms vs 50-300ms)</w:t>
            </w:r>
            <w:r>
              <w:t xml:space="preserve"> </w:t>
            </w:r>
            <w:fldSimple w:instr="NOTEREF _Ref_Footnote_46 \h \f">
              <w:r>
                <w:rPr>
                  <w:vertAlign w:val="superscript"/>
                </w:rPr>
                <w:t>46</w:t>
              </w:r>
            </w:fldSimple>
          </w:p>
        </w:tc>
        <w:tc>
          <w:tcPr/>
          <w:p>
            <w:pPr>
              <w:pStyle w:val="Compact"/>
              <w:jc w:val="left"/>
            </w:pPr>
            <w:r>
              <w:t xml:space="preserve">Static CDN shell + dynamic Suspense boundaries</w:t>
            </w:r>
          </w:p>
        </w:tc>
        <w:tc>
          <w:tcPr/>
          <w:p>
            <w:pPr>
              <w:pStyle w:val="Compact"/>
              <w:jc w:val="left"/>
            </w:pPr>
            <w:r>
              <w:t xml:space="preserve">Vercel PPR platform guide</w:t>
            </w:r>
            <w:r>
              <w:t xml:space="preserve"> </w:t>
            </w:r>
            <w:r>
              <w:rPr>
                <w:vertAlign w:val="superscript"/>
              </w:rPr>
              <w:footnoteReference w:id="47"/>
            </w:r>
          </w:p>
        </w:tc>
      </w:tr>
      <w:tr>
        <w:tc>
          <w:tcPr/>
          <w:p>
            <w:pPr>
              <w:pStyle w:val="Compact"/>
              <w:jc w:val="left"/>
            </w:pPr>
            <w:r>
              <w:t xml:space="preserve">CMD+K command palette</w:t>
            </w:r>
          </w:p>
        </w:tc>
        <w:tc>
          <w:tcPr/>
          <w:p>
            <w:pPr>
              <w:pStyle w:val="Compact"/>
              <w:jc w:val="left"/>
            </w:pPr>
            <w:r>
              <w:t xml:space="preserve">35% reduction in task-completion time</w:t>
            </w:r>
            <w:r>
              <w:t xml:space="preserve"> </w:t>
            </w:r>
            <w:fldSimple w:instr="NOTEREF _Ref_Footnote_15 \h \f">
              <w:r>
                <w:rPr>
                  <w:vertAlign w:val="superscript"/>
                </w:rPr>
                <w:t>15</w:t>
              </w:r>
            </w:fldSimple>
          </w:p>
        </w:tc>
        <w:tc>
          <w:tcPr/>
          <w:p>
            <w:pPr>
              <w:pStyle w:val="Compact"/>
              <w:jc w:val="left"/>
            </w:pPr>
            <w:r>
              <w:t xml:space="preserve">8% navigation speed gain</w:t>
            </w:r>
          </w:p>
        </w:tc>
        <w:tc>
          <w:tcPr/>
          <w:p>
            <w:pPr>
              <w:pStyle w:val="Compact"/>
              <w:jc w:val="left"/>
            </w:pPr>
            <w:r>
              <w:t xml:space="preserve">Sub-100ms fuzzy search, eliminates menu hunting</w:t>
            </w:r>
          </w:p>
        </w:tc>
        <w:tc>
          <w:tcPr/>
          <w:p>
            <w:pPr>
              <w:pStyle w:val="Compact"/>
              <w:jc w:val="left"/>
            </w:pPr>
            <w:r>
              <w:t xml:space="preserve">Linear/Vercel pattern analysis</w:t>
            </w:r>
            <w:r>
              <w:t xml:space="preserve"> </w:t>
            </w:r>
            <w:fldSimple w:instr="NOTEREF _Ref_Footnote_15 \h \f">
              <w:r>
                <w:rPr>
                  <w:vertAlign w:val="superscript"/>
                </w:rPr>
                <w:t>15</w:t>
              </w:r>
            </w:fldSimple>
          </w:p>
        </w:tc>
      </w:tr>
      <w:tr>
        <w:tc>
          <w:tcPr/>
          <w:p>
            <w:pPr>
              <w:pStyle w:val="Compact"/>
              <w:jc w:val="left"/>
            </w:pPr>
            <w:r>
              <w:t xml:space="preserve">Ease-out animations</w:t>
            </w:r>
          </w:p>
        </w:tc>
        <w:tc>
          <w:tcPr/>
          <w:p>
            <w:pPr>
              <w:pStyle w:val="Compact"/>
              <w:jc w:val="left"/>
            </w:pPr>
            <w:r>
              <w:t xml:space="preserve">30% perceived responsiveness lift</w:t>
            </w:r>
            <w:r>
              <w:t xml:space="preserve"> </w:t>
            </w:r>
            <w:r>
              <w:rPr>
                <w:vertAlign w:val="superscript"/>
              </w:rPr>
              <w:footnoteReference w:id="48"/>
            </w:r>
          </w:p>
        </w:tc>
        <w:tc>
          <w:tcPr/>
          <w:p>
            <w:pPr>
              <w:pStyle w:val="Compact"/>
              <w:jc w:val="left"/>
            </w:pPr>
            <w:r>
              <w:t xml:space="preserve">0% (no speed gain)</w:t>
            </w:r>
          </w:p>
        </w:tc>
        <w:tc>
          <w:tcPr/>
          <w:p>
            <w:pPr>
              <w:pStyle w:val="Compact"/>
              <w:jc w:val="left"/>
            </w:pPr>
            <w:r>
              <w:t xml:space="preserve">Fast-starting animations feel snappier than linear transitions</w:t>
            </w:r>
          </w:p>
        </w:tc>
        <w:tc>
          <w:tcPr/>
          <w:p>
            <w:pPr>
              <w:pStyle w:val="Compact"/>
              <w:jc w:val="left"/>
            </w:pPr>
            <w:r>
              <w:t xml:space="preserve">Swedish animation-psychology study</w:t>
            </w:r>
            <w:r>
              <w:t xml:space="preserve"> </w:t>
            </w:r>
            <w:fldSimple w:instr="NOTEREF _Ref_Footnote_48 \h \f">
              <w:r>
                <w:rPr>
                  <w:vertAlign w:val="superscript"/>
                </w:rPr>
                <w:t>48</w:t>
              </w:r>
            </w:fldSimple>
          </w:p>
        </w:tc>
      </w:tr>
    </w:tbl>
    <w:p>
      <w:pPr>
        <w:pStyle w:val="BodyText"/>
      </w:pPr>
      <w:r>
        <w:t xml:space="preserve">The data reveal a clear pattern. Skeleton screens and optimistic UI deliver the largest perceived satisfaction gains—67% and 55% respectively—while contributing relatively modest raw speed improvements of 12% and 5%. In contrast, Partial Prerendering (PPR) improves both perceived satisfaction (40%) and actual speed (35%), making it the highest-return architectural investment. Ease-out animations provide a 30% perceived responsiveness improvement with zero raw speed gain, demonstrating that satisfaction is fundamentally a psychological construct, not a hardware metric.</w:t>
      </w:r>
    </w:p>
    <w:p>
      <w:pPr>
        <w:pStyle w:val="CaptionedFigure"/>
      </w:pPr>
      <w:r>
        <w:drawing>
          <wp:inline>
            <wp:extent cx="5334000" cy="2850194"/>
            <wp:effectExtent b="0" l="0" r="0" t="0"/>
            <wp:docPr descr="Perceived vs. Actual Performance Impact of Frontend Techniques" title="" id="35" name="Picture"/>
            <a:graphic>
              <a:graphicData uri="http://schemas.openxmlformats.org/drawingml/2006/picture">
                <pic:pic>
                  <pic:nvPicPr>
                    <pic:cNvPr descr="fig_sec02_perceived_vs_actual.png" id="36" name="Picture"/>
                    <pic:cNvPicPr>
                      <a:picLocks noChangeArrowheads="1" noChangeAspect="1"/>
                    </pic:cNvPicPr>
                  </pic:nvPicPr>
                  <pic:blipFill>
                    <a:blip r:embed="rId34"/>
                    <a:stretch>
                      <a:fillRect/>
                    </a:stretch>
                  </pic:blipFill>
                  <pic:spPr bwMode="auto">
                    <a:xfrm>
                      <a:off x="0" y="0"/>
                      <a:ext cx="5334000" cy="2850194"/>
                    </a:xfrm>
                    <a:prstGeom prst="rect">
                      <a:avLst/>
                    </a:prstGeom>
                    <a:noFill/>
                    <a:ln w="9525">
                      <a:noFill/>
                      <a:headEnd/>
                      <a:tailEnd/>
                    </a:ln>
                  </pic:spPr>
                </pic:pic>
              </a:graphicData>
            </a:graphic>
          </wp:inline>
        </w:drawing>
      </w:r>
    </w:p>
    <w:p>
      <w:pPr>
        <w:pStyle w:val="ImageCaption"/>
      </w:pPr>
      <w:r>
        <w:t xml:space="preserve">Perceived vs. Actual Performance Impact of Frontend Techniques</w:t>
      </w:r>
    </w:p>
    <w:p>
      <w:pPr>
        <w:pStyle w:val="BodyText"/>
      </w:pPr>
      <w:r>
        <w:t xml:space="preserve">The chart above visualises this divergence across all six techniques. The vertical axis captures percentage improvement; the horizontal axis orders techniques by their perceived-impact rank. Two techniques stand out for their asymmetric profiles: skeleton screens (67% perceived, 12% actual) and optimistic UI (55% perceived, 5% actual). These are pure perceived-performance plays—they engineer satisfaction without requiring infrastructure investment. Conversely, Partial Prerendering is the only technique where perceived and actual impacts are roughly balanced (40% vs 35%), making it the foundation upon which the other techniques layer.</w:t>
      </w:r>
    </w:p>
    <w:bookmarkEnd w:id="37"/>
    <w:bookmarkStart w:id="38" w:name="streaming-ui-architecture"/>
    <w:p>
      <w:pPr>
        <w:pStyle w:val="Heading3"/>
      </w:pPr>
      <w:r>
        <w:t xml:space="preserve">2.2 Streaming UI Architecture</w:t>
      </w:r>
    </w:p>
    <w:p>
      <w:pPr>
        <w:pStyle w:val="FirstParagraph"/>
      </w:pPr>
      <w:r>
        <w:t xml:space="preserve">For AI-powered compliance features—document generation, risk classification, evidence analysis—the silence between user submission and server response is the primary trust destroyer. Research across six dimensions of this report identifies streaming text as non-negotiable: users interpret silence as failure, abandoned processes, or system hangs. Server-Sent Events (SSE) provide the optimal transport for one-way AI streaming in CRP Comply’s architecture.</w:t>
      </w:r>
    </w:p>
    <w:p>
      <w:pPr>
        <w:pStyle w:val="BodyText"/>
      </w:pPr>
      <w:r>
        <w:t xml:space="preserve">SSE offers four decisive advantages over WebSockets for unidirectional streaming: simpler connection management (no handshake protocol), automatic reconnection with exponential backoff, native HTTP/2 compatibility enabling multiplexed streams over a single connection, and straightforward firewall traversal because it uses standard HTTP</w:t>
      </w:r>
      <w:r>
        <w:t xml:space="preserve"> </w:t>
      </w:r>
      <w:fldSimple w:instr="NOTEREF _Ref_Footnote_11 \h \f">
        <w:r>
          <w:rPr>
            <w:vertAlign w:val="superscript"/>
          </w:rPr>
          <w:t>11</w:t>
        </w:r>
      </w:fldSimple>
      <w:r>
        <w:t xml:space="preserve"> </w:t>
      </w:r>
      <w:r>
        <w:rPr>
          <w:vertAlign w:val="superscript"/>
        </w:rPr>
        <w:footnoteReference w:id="49"/>
      </w:r>
      <w:r>
        <w:t xml:space="preserve">. WebSockets remain necessary only for bidirectional real-time collaboration—features not present in the current compliance workflow.</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Transport</w:t>
            </w:r>
          </w:p>
        </w:tc>
        <w:tc>
          <w:tcPr/>
          <w:p>
            <w:pPr>
              <w:pStyle w:val="Compact"/>
              <w:jc w:val="left"/>
            </w:pPr>
            <w:r>
              <w:t xml:space="preserve">Directionality</w:t>
            </w:r>
          </w:p>
        </w:tc>
        <w:tc>
          <w:tcPr/>
          <w:p>
            <w:pPr>
              <w:pStyle w:val="Compact"/>
              <w:jc w:val="left"/>
            </w:pPr>
            <w:r>
              <w:t xml:space="preserve">Latency</w:t>
            </w:r>
          </w:p>
        </w:tc>
        <w:tc>
          <w:tcPr/>
          <w:p>
            <w:pPr>
              <w:pStyle w:val="Compact"/>
              <w:jc w:val="left"/>
            </w:pPr>
            <w:r>
              <w:t xml:space="preserve">Auth Complexity</w:t>
            </w:r>
          </w:p>
        </w:tc>
        <w:tc>
          <w:tcPr/>
          <w:p>
            <w:pPr>
              <w:pStyle w:val="Compact"/>
              <w:jc w:val="left"/>
            </w:pPr>
            <w:r>
              <w:t xml:space="preserve">Reconnect Support</w:t>
            </w:r>
          </w:p>
        </w:tc>
        <w:tc>
          <w:tcPr/>
          <w:p>
            <w:pPr>
              <w:pStyle w:val="Compact"/>
              <w:jc w:val="left"/>
            </w:pPr>
            <w:r>
              <w:t xml:space="preserve">HTTP/2 Compatible</w:t>
            </w:r>
          </w:p>
        </w:tc>
        <w:tc>
          <w:tcPr/>
          <w:p>
            <w:pPr>
              <w:pStyle w:val="Compact"/>
              <w:jc w:val="left"/>
            </w:pPr>
            <w:r>
              <w:t xml:space="preserve">Best Use Case</w:t>
            </w:r>
          </w:p>
        </w:tc>
      </w:tr>
      <w:tr>
        <w:tc>
          <w:tcPr/>
          <w:p>
            <w:pPr>
              <w:pStyle w:val="Compact"/>
              <w:jc w:val="left"/>
            </w:pPr>
            <w:r>
              <w:t xml:space="preserve">SSE</w:t>
            </w:r>
          </w:p>
        </w:tc>
        <w:tc>
          <w:tcPr/>
          <w:p>
            <w:pPr>
              <w:pStyle w:val="Compact"/>
              <w:jc w:val="left"/>
            </w:pPr>
            <w:r>
              <w:t xml:space="preserve">Unidirectional</w:t>
            </w:r>
          </w:p>
        </w:tc>
        <w:tc>
          <w:tcPr/>
          <w:p>
            <w:pPr>
              <w:pStyle w:val="Compact"/>
              <w:jc w:val="left"/>
            </w:pPr>
            <w:r>
              <w:t xml:space="preserve">Low</w:t>
            </w:r>
          </w:p>
        </w:tc>
        <w:tc>
          <w:tcPr/>
          <w:p>
            <w:pPr>
              <w:pStyle w:val="Compact"/>
              <w:jc w:val="left"/>
            </w:pPr>
            <w:r>
              <w:t xml:space="preserve">Simple (standard HTTP auth)</w:t>
            </w:r>
          </w:p>
        </w:tc>
        <w:tc>
          <w:tcPr/>
          <w:p>
            <w:pPr>
              <w:pStyle w:val="Compact"/>
              <w:jc w:val="left"/>
            </w:pPr>
            <w:r>
              <w:t xml:space="preserve">Automatic with Last-Event-ID</w:t>
            </w:r>
            <w:r>
              <w:t xml:space="preserve"> </w:t>
            </w:r>
            <w:r>
              <w:rPr>
                <w:vertAlign w:val="superscript"/>
              </w:rPr>
              <w:footnoteReference w:id="50"/>
            </w:r>
          </w:p>
        </w:tc>
        <w:tc>
          <w:tcPr/>
          <w:p>
            <w:pPr>
              <w:pStyle w:val="Compact"/>
              <w:jc w:val="left"/>
            </w:pPr>
            <w:r>
              <w:t xml:space="preserve">Yes (multiplexed streams)</w:t>
            </w:r>
            <w:r>
              <w:t xml:space="preserve"> </w:t>
            </w:r>
            <w:fldSimple w:instr="NOTEREF _Ref_Footnote_49 \h \f">
              <w:r>
                <w:rPr>
                  <w:vertAlign w:val="superscript"/>
                </w:rPr>
                <w:t>49</w:t>
              </w:r>
            </w:fldSimple>
          </w:p>
        </w:tc>
        <w:tc>
          <w:tcPr/>
          <w:p>
            <w:pPr>
              <w:pStyle w:val="Compact"/>
              <w:jc w:val="left"/>
            </w:pPr>
            <w:r>
              <w:t xml:space="preserve">AI streaming, live dashboards, audit feeds</w:t>
            </w:r>
          </w:p>
        </w:tc>
      </w:tr>
      <w:tr>
        <w:tc>
          <w:tcPr/>
          <w:p>
            <w:pPr>
              <w:pStyle w:val="Compact"/>
              <w:jc w:val="left"/>
            </w:pPr>
            <w:r>
              <w:t xml:space="preserve">WebSockets</w:t>
            </w:r>
          </w:p>
        </w:tc>
        <w:tc>
          <w:tcPr/>
          <w:p>
            <w:pPr>
              <w:pStyle w:val="Compact"/>
              <w:jc w:val="left"/>
            </w:pPr>
            <w:r>
              <w:t xml:space="preserve">Bidirectional</w:t>
            </w:r>
          </w:p>
        </w:tc>
        <w:tc>
          <w:tcPr/>
          <w:p>
            <w:pPr>
              <w:pStyle w:val="Compact"/>
              <w:jc w:val="left"/>
            </w:pPr>
            <w:r>
              <w:t xml:space="preserve">Low</w:t>
            </w:r>
          </w:p>
        </w:tc>
        <w:tc>
          <w:tcPr/>
          <w:p>
            <w:pPr>
              <w:pStyle w:val="Compact"/>
              <w:jc w:val="left"/>
            </w:pPr>
            <w:r>
              <w:t xml:space="preserve">Medium (custom handshake)</w:t>
            </w:r>
          </w:p>
        </w:tc>
        <w:tc>
          <w:tcPr/>
          <w:p>
            <w:pPr>
              <w:pStyle w:val="Compact"/>
              <w:jc w:val="left"/>
            </w:pPr>
            <w:r>
              <w:t xml:space="preserve">Manual implementation</w:t>
            </w:r>
          </w:p>
        </w:tc>
        <w:tc>
          <w:tcPr/>
          <w:p>
            <w:pPr>
              <w:pStyle w:val="Compact"/>
              <w:jc w:val="left"/>
            </w:pPr>
            <w:r>
              <w:t xml:space="preserve">No (separate TCP connection)</w:t>
            </w:r>
          </w:p>
        </w:tc>
        <w:tc>
          <w:tcPr/>
          <w:p>
            <w:pPr>
              <w:pStyle w:val="Compact"/>
              <w:jc w:val="left"/>
            </w:pPr>
            <w:r>
              <w:t xml:space="preserve">Real-time collaboration, multiplayer editing</w:t>
            </w:r>
          </w:p>
        </w:tc>
      </w:tr>
      <w:tr>
        <w:tc>
          <w:tcPr/>
          <w:p>
            <w:pPr>
              <w:pStyle w:val="Compact"/>
              <w:jc w:val="left"/>
            </w:pPr>
            <w:r>
              <w:t xml:space="preserve">GraphQL Subscriptions</w:t>
            </w:r>
          </w:p>
        </w:tc>
        <w:tc>
          <w:tcPr/>
          <w:p>
            <w:pPr>
              <w:pStyle w:val="Compact"/>
              <w:jc w:val="left"/>
            </w:pPr>
            <w:r>
              <w:t xml:space="preserve">Bidirectional</w:t>
            </w:r>
          </w:p>
        </w:tc>
        <w:tc>
          <w:tcPr/>
          <w:p>
            <w:pPr>
              <w:pStyle w:val="Compact"/>
              <w:jc w:val="left"/>
            </w:pPr>
            <w:r>
              <w:t xml:space="preserve">Low</w:t>
            </w:r>
          </w:p>
        </w:tc>
        <w:tc>
          <w:tcPr/>
          <w:p>
            <w:pPr>
              <w:pStyle w:val="Compact"/>
              <w:jc w:val="left"/>
            </w:pPr>
            <w:r>
              <w:t xml:space="preserve">Complex (schema-driven)</w:t>
            </w:r>
          </w:p>
        </w:tc>
        <w:tc>
          <w:tcPr/>
          <w:p>
            <w:pPr>
              <w:pStyle w:val="Compact"/>
              <w:jc w:val="left"/>
            </w:pPr>
            <w:r>
              <w:t xml:space="preserve">Automatic</w:t>
            </w:r>
          </w:p>
        </w:tc>
        <w:tc>
          <w:tcPr/>
          <w:p>
            <w:pPr>
              <w:pStyle w:val="Compact"/>
              <w:jc w:val="left"/>
            </w:pPr>
            <w:r>
              <w:t xml:space="preserve">No</w:t>
            </w:r>
          </w:p>
        </w:tc>
        <w:tc>
          <w:tcPr/>
          <w:p>
            <w:pPr>
              <w:pStyle w:val="Compact"/>
              <w:jc w:val="left"/>
            </w:pPr>
            <w:r>
              <w:t xml:space="preserve">Schema-driven real-time updates</w:t>
            </w:r>
          </w:p>
        </w:tc>
      </w:tr>
      <w:tr>
        <w:tc>
          <w:tcPr/>
          <w:p>
            <w:pPr>
              <w:pStyle w:val="Compact"/>
              <w:jc w:val="left"/>
            </w:pPr>
            <w:r>
              <w:t xml:space="preserve">Long Polling</w:t>
            </w:r>
          </w:p>
        </w:tc>
        <w:tc>
          <w:tcPr/>
          <w:p>
            <w:pPr>
              <w:pStyle w:val="Compact"/>
              <w:jc w:val="left"/>
            </w:pPr>
            <w:r>
              <w:t xml:space="preserve">Unidirectional</w:t>
            </w:r>
          </w:p>
        </w:tc>
        <w:tc>
          <w:tcPr/>
          <w:p>
            <w:pPr>
              <w:pStyle w:val="Compact"/>
              <w:jc w:val="left"/>
            </w:pPr>
            <w:r>
              <w:t xml:space="preserve">High (request/round-trip)</w:t>
            </w:r>
          </w:p>
        </w:tc>
        <w:tc>
          <w:tcPr/>
          <w:p>
            <w:pPr>
              <w:pStyle w:val="Compact"/>
              <w:jc w:val="left"/>
            </w:pPr>
            <w:r>
              <w:t xml:space="preserve">Simple</w:t>
            </w:r>
          </w:p>
        </w:tc>
        <w:tc>
          <w:tcPr/>
          <w:p>
            <w:pPr>
              <w:pStyle w:val="Compact"/>
              <w:jc w:val="left"/>
            </w:pPr>
            <w:r>
              <w:t xml:space="preserve">N/A</w:t>
            </w:r>
          </w:p>
        </w:tc>
        <w:tc>
          <w:tcPr/>
          <w:p>
            <w:pPr>
              <w:pStyle w:val="Compact"/>
              <w:jc w:val="left"/>
            </w:pPr>
            <w:r>
              <w:t xml:space="preserve">Yes</w:t>
            </w:r>
          </w:p>
        </w:tc>
        <w:tc>
          <w:tcPr/>
          <w:p>
            <w:pPr>
              <w:pStyle w:val="Compact"/>
              <w:jc w:val="left"/>
            </w:pPr>
            <w:r>
              <w:t xml:space="preserve">Legacy fallback only</w:t>
            </w:r>
          </w:p>
        </w:tc>
      </w:tr>
    </w:tbl>
    <w:p>
      <w:pPr>
        <w:pStyle w:val="BodyText"/>
      </w:pPr>
      <w:r>
        <w:t xml:space="preserve">The SSE comparison table clarifies why unidirectional streaming is the correct default for CRP Comply. Every compliance assistant interaction—document generation, classification queries, evidence analysis—follows a one-to-many pattern: the server streams reasoning steps and output to the client, while user input is handled through discrete mutations rather than continuous bidirectional channels. SSE’s automatic reconnection with</w:t>
      </w:r>
      <w:r>
        <w:t xml:space="preserve"> </w:t>
      </w:r>
      <w:r>
        <w:rPr>
          <w:rStyle w:val="VerbatimChar"/>
        </w:rPr>
        <w:t xml:space="preserve">Last-Event-ID</w:t>
      </w:r>
      <w:r>
        <w:t xml:space="preserve"> </w:t>
      </w:r>
      <w:r>
        <w:t xml:space="preserve">header support ensures that transient network interruptions do not lose stream context; the client resumes from the last received event ID without requiring application-level recovery logic</w:t>
      </w:r>
      <w:r>
        <w:t xml:space="preserve"> </w:t>
      </w:r>
      <w:fldSimple w:instr="NOTEREF _Ref_Footnote_50 \h \f">
        <w:r>
          <w:rPr>
            <w:vertAlign w:val="superscript"/>
          </w:rPr>
          <w:t>50</w:t>
        </w:r>
      </w:fldSimple>
      <w:r>
        <w:t xml:space="preserve">.</w:t>
      </w:r>
    </w:p>
    <w:p>
      <w:pPr>
        <w:pStyle w:val="BodyText"/>
      </w:pPr>
      <w:r>
        <w:t xml:space="preserve">The</w:t>
      </w:r>
      <w:r>
        <w:t xml:space="preserve"> </w:t>
      </w:r>
      <w:r>
        <w:t xml:space="preserve">“</w:t>
      </w:r>
      <w:r>
        <w:t xml:space="preserve">first-chunk problem</w:t>
      </w:r>
      <w:r>
        <w:t xml:space="preserve">”</w:t>
      </w:r>
      <w:r>
        <w:t xml:space="preserve"> </w:t>
      </w:r>
      <w:r>
        <w:t xml:space="preserve">is the critical UX transition from</w:t>
      </w:r>
      <w:r>
        <w:t xml:space="preserve"> </w:t>
      </w:r>
      <w:r>
        <w:t xml:space="preserve">“</w:t>
      </w:r>
      <w:r>
        <w:t xml:space="preserve">waiting</w:t>
      </w:r>
      <w:r>
        <w:t xml:space="preserve">”</w:t>
      </w:r>
      <w:r>
        <w:t xml:space="preserve"> </w:t>
      </w:r>
      <w:r>
        <w:t xml:space="preserve">to</w:t>
      </w:r>
      <w:r>
        <w:t xml:space="preserve"> </w:t>
      </w:r>
      <w:r>
        <w:t xml:space="preserve">“</w:t>
      </w:r>
      <w:r>
        <w:t xml:space="preserve">streaming.</w:t>
      </w:r>
      <w:r>
        <w:t xml:space="preserve">”</w:t>
      </w:r>
      <w:r>
        <w:t xml:space="preserve"> </w:t>
      </w:r>
      <w:r>
        <w:t xml:space="preserve">When a user submits a compliance query, the period between click and first visible character is the highest-anxiety moment. The recommended pattern tracks a</w:t>
      </w:r>
      <w:r>
        <w:t xml:space="preserve"> </w:t>
      </w:r>
      <w:r>
        <w:rPr>
          <w:rStyle w:val="VerbatimChar"/>
        </w:rPr>
        <w:t xml:space="preserve">hasReceivedFirstChunk</w:t>
      </w:r>
      <w:r>
        <w:t xml:space="preserve"> </w:t>
      </w:r>
      <w:r>
        <w:t xml:space="preserve">boolean state: on first chunk arrival, the loading indicator is replaced with the initial message object; subsequent chunks append to the existing message in place</w:t>
      </w:r>
      <w:r>
        <w:t xml:space="preserve"> </w:t>
      </w:r>
      <w:r>
        <w:rPr>
          <w:vertAlign w:val="superscript"/>
        </w:rPr>
        <w:footnoteReference w:id="51"/>
      </w:r>
      <w:r>
        <w:t xml:space="preserve">. This single state variable eliminates the jarring switch from spinner to content, replacing it with a smooth transition that feels like continuous progress.</w:t>
      </w:r>
    </w:p>
    <w:p>
      <w:pPr>
        <w:pStyle w:val="BodyText"/>
      </w:pPr>
      <w:r>
        <w:t xml:space="preserve">React 19’s streaming architecture extends this pattern to the page level. Suspense boundaries enable the static shell—navigation, layout, skeleton placeholders—to render from a CDN in approximately 5-20ms Time to First Byte (TTFB), while dynamic content streams into each boundary independently as data resolves</w:t>
      </w:r>
      <w:r>
        <w:t xml:space="preserve"> </w:t>
      </w:r>
      <w:fldSimple w:instr="NOTEREF _Ref_Footnote_46 \h \f">
        <w:r>
          <w:rPr>
            <w:vertAlign w:val="superscript"/>
          </w:rPr>
          <w:t>46</w:t>
        </w:r>
      </w:fldSimple>
      <w:r>
        <w:t xml:space="preserve">. Nested Suspense boundaries prevent slow queries from blocking fast ones: a compliance statistics widget loading in 100ms is not held up by a deep analysis chart requiring 1,200ms</w:t>
      </w:r>
      <w:r>
        <w:t xml:space="preserve"> </w:t>
      </w:r>
      <w:fldSimple w:instr="NOTEREF _Ref_Footnote_46 \h \f">
        <w:r>
          <w:rPr>
            <w:vertAlign w:val="superscript"/>
          </w:rPr>
          <w:t>46</w:t>
        </w:r>
      </w:fldSimple>
      <w:r>
        <w:t xml:space="preserve">. Server Components eliminate hydration entirely for static UI sections, reducing browser-side JavaScript execution</w:t>
      </w:r>
      <w:r>
        <w:t xml:space="preserve"> </w:t>
      </w:r>
      <w:r>
        <w:rPr>
          <w:vertAlign w:val="superscript"/>
        </w:rPr>
        <w:footnoteReference w:id="52"/>
      </w:r>
      <w:r>
        <w:t xml:space="preserve"> </w:t>
      </w:r>
      <w:r>
        <w:rPr>
          <w:vertAlign w:val="superscript"/>
        </w:rPr>
        <w:footnoteReference w:id="53"/>
      </w:r>
      <w:r>
        <w:t xml:space="preserve">.</w:t>
      </w:r>
    </w:p>
    <w:bookmarkEnd w:id="38"/>
    <w:bookmarkStart w:id="39" w:name="optimistic-ui-instant-feedback-patterns"/>
    <w:p>
      <w:pPr>
        <w:pStyle w:val="Heading3"/>
      </w:pPr>
      <w:r>
        <w:t xml:space="preserve">2.3 Optimistic UI &amp; Instant Feedback Patterns</w:t>
      </w:r>
    </w:p>
    <w:p>
      <w:pPr>
        <w:pStyle w:val="FirstParagraph"/>
      </w:pPr>
      <w:r>
        <w:t xml:space="preserve">Optimistic UI (Optimistic User Interface) is a pattern where the frontend displays the expected result of an action before the server confirms success, creating the sensation of instant responsiveness. React 19 graduates this from a manual pattern into a first-party primitive through the</w:t>
      </w:r>
      <w:r>
        <w:t xml:space="preserve"> </w:t>
      </w:r>
      <w:r>
        <w:rPr>
          <w:rStyle w:val="VerbatimChar"/>
        </w:rPr>
        <w:t xml:space="preserve">useOptimistic</w:t>
      </w:r>
      <w:r>
        <w:t xml:space="preserve"> </w:t>
      </w:r>
      <w:r>
        <w:t xml:space="preserve">hook, which provides built-in rollback semantics tied to React’s transition model</w:t>
      </w:r>
      <w:r>
        <w:t xml:space="preserve"> </w:t>
      </w:r>
      <w:r>
        <w:rPr>
          <w:vertAlign w:val="superscript"/>
        </w:rPr>
        <w:footnoteReference w:id="54"/>
      </w:r>
      <w:r>
        <w:t xml:space="preserve"> </w:t>
      </w:r>
      <w:fldSimple w:instr="NOTEREF _Ref_Footnote_43 \h \f">
        <w:r>
          <w:rPr>
            <w:vertAlign w:val="superscript"/>
          </w:rPr>
          <w:t>43</w:t>
        </w:r>
      </w:fldSimple>
      <w:r>
        <w:t xml:space="preserve">.</w:t>
      </w:r>
    </w:p>
    <w:p>
      <w:pPr>
        <w:pStyle w:val="BodyText"/>
      </w:pPr>
      <w:r>
        <w:t xml:space="preserve">The hook signature is declarative:</w:t>
      </w:r>
      <w:r>
        <w:t xml:space="preserve"> </w:t>
      </w:r>
      <w:r>
        <w:rPr>
          <w:rStyle w:val="VerbatimChar"/>
        </w:rPr>
        <w:t xml:space="preserve">const [optimisticState, addOptimistic] = useOptimistic(state, updateFn)</w:t>
      </w:r>
      <w:r>
        <w:t xml:space="preserve">. The first argument is the source-of-truth state (server-confirmed data); the second is a pure update function that returns the optimistic state</w:t>
      </w:r>
      <w:r>
        <w:t xml:space="preserve"> </w:t>
      </w:r>
      <w:fldSimple w:instr="NOTEREF _Ref_Footnote_54 \h \f">
        <w:r>
          <w:rPr>
            <w:vertAlign w:val="superscript"/>
          </w:rPr>
          <w:t>54</w:t>
        </w:r>
      </w:fldSimple>
      <w:r>
        <w:t xml:space="preserve">. Three patterns cover the majority of compliance application scenarios: append (adding a document to a list), toggle (changing a compliance status flag), and inline edit (updating a record field). For each,</w:t>
      </w:r>
      <w:r>
        <w:t xml:space="preserve"> </w:t>
      </w:r>
      <w:r>
        <w:rPr>
          <w:rStyle w:val="VerbatimChar"/>
        </w:rPr>
        <w:t xml:space="preserve">addOptimistic</w:t>
      </w:r>
      <w:r>
        <w:t xml:space="preserve"> </w:t>
      </w:r>
      <w:r>
        <w:t xml:space="preserve">is called inside a Server Action or transition; React applies the update immediately while the request proceeds in the background.</w:t>
      </w:r>
    </w:p>
    <w:p>
      <w:pPr>
        <w:pStyle w:val="BodyText"/>
      </w:pPr>
      <w:r>
        <w:t xml:space="preserve">The critical safety mechanism is automatic rollback. If a Server Action throws an error, React ends the transition and drops the optimistic entry, reverting to the last known good state without manual intervention</w:t>
      </w:r>
      <w:r>
        <w:t xml:space="preserve"> </w:t>
      </w:r>
      <w:fldSimple w:instr="NOTEREF _Ref_Footnote_43 \h \f">
        <w:r>
          <w:rPr>
            <w:vertAlign w:val="superscript"/>
          </w:rPr>
          <w:t>43</w:t>
        </w:r>
      </w:fldSimple>
      <w:r>
        <w:t xml:space="preserve">. This eliminates the complex snapshot-and-restore boilerplate that previously made optimistic UI error-prone. The production implementation checklist includes: source-of-truth state as the first argument; a pure update function with no side effects; client-side validation before dispatch; a pending visual indicator (reduced opacity or subtle spinner); and an error surface (toast notification) wired for rollback scenarios</w:t>
      </w:r>
      <w:r>
        <w:t xml:space="preserve"> </w:t>
      </w:r>
      <w:fldSimple w:instr="NOTEREF _Ref_Footnote_54 \h \f">
        <w:r>
          <w:rPr>
            <w:vertAlign w:val="superscript"/>
          </w:rPr>
          <w:t>54</w:t>
        </w:r>
      </w:fldSimple>
      <w:r>
        <w:t xml:space="preserve">.</w:t>
      </w:r>
    </w:p>
    <w:p>
      <w:pPr>
        <w:pStyle w:val="BodyText"/>
      </w:pPr>
      <w:r>
        <w:t xml:space="preserve">For CRP Comply specifically, every compliance action should feel instant. Document generation begins immediately with an optimistic placeholder card showing the expected output type and estimated completion; evidence uploads show progress bars that begin moving at submission time, not after server acknowledgement; form submissions display a success animation within 50ms of click. The psychological effect is profound—users describe optimistic interfaces as</w:t>
      </w:r>
      <w:r>
        <w:t xml:space="preserve"> </w:t>
      </w:r>
      <w:r>
        <w:t xml:space="preserve">“</w:t>
      </w:r>
      <w:r>
        <w:t xml:space="preserve">lightning fast</w:t>
      </w:r>
      <w:r>
        <w:t xml:space="preserve">”</w:t>
      </w:r>
      <w:r>
        <w:t xml:space="preserve"> </w:t>
      </w:r>
      <w:r>
        <w:t xml:space="preserve">even when network latency exceeds 300ms</w:t>
      </w:r>
      <w:r>
        <w:t xml:space="preserve"> </w:t>
      </w:r>
      <w:r>
        <w:rPr>
          <w:vertAlign w:val="superscript"/>
        </w:rPr>
        <w:footnoteReference w:id="55"/>
      </w:r>
      <w:r>
        <w:t xml:space="preserve">.</w:t>
      </w:r>
    </w:p>
    <w:bookmarkEnd w:id="39"/>
    <w:bookmarkStart w:id="40" w:name="skeleton-screens-loading-state-design"/>
    <w:p>
      <w:pPr>
        <w:pStyle w:val="Heading3"/>
      </w:pPr>
      <w:r>
        <w:t xml:space="preserve">2.4 Skeleton Screens &amp; Loading State Design</w:t>
      </w:r>
    </w:p>
    <w:p>
      <w:pPr>
        <w:pStyle w:val="FirstParagraph"/>
      </w:pPr>
      <w:r>
        <w:t xml:space="preserve">Skeleton screens are placeholder graphics that mimic the shape and layout of incoming content while data loads. Unlike spinners—which focus attention on the wait itself—skeleton screens create the illusion that content is already arriving, reducing perceived loading time by up to 67% and improving Cumulative Layout Shift (CLS) scores by 92%</w:t>
      </w:r>
      <w:r>
        <w:t xml:space="preserve"> </w:t>
      </w:r>
      <w:fldSimple w:instr="NOTEREF _Ref_Footnote_41 \h \f">
        <w:r>
          <w:rPr>
            <w:vertAlign w:val="superscript"/>
          </w:rPr>
          <w:t>41</w:t>
        </w:r>
      </w:fldSimple>
      <w:r>
        <w:t xml:space="preserve"> </w:t>
      </w:r>
      <w:r>
        <w:rPr>
          <w:vertAlign w:val="superscript"/>
        </w:rPr>
        <w:footnoteReference w:id="56"/>
      </w:r>
      <w:r>
        <w:t xml:space="preserve">. The mechanism is spatial: by reserving the exact dimensions of final content, skeletons prevent the jarring reflow that occurs when content suddenly appears, replacing it with a smooth fade-in transition.</w:t>
      </w:r>
    </w:p>
    <w:p>
      <w:pPr>
        <w:pStyle w:val="BodyText"/>
      </w:pPr>
      <w:r>
        <w:t xml:space="preserve">The implementation taxonomy for CRP Comply includes four skeleton types.</w:t>
      </w:r>
      <w:r>
        <w:t xml:space="preserve"> </w:t>
      </w:r>
      <w:r>
        <w:rPr>
          <w:bCs/>
          <w:b/>
        </w:rPr>
        <w:t xml:space="preserve">Table skeletons</w:t>
      </w:r>
      <w:r>
        <w:t xml:space="preserve"> </w:t>
      </w:r>
      <w:r>
        <w:t xml:space="preserve">use row-shaped placeholder blocks matching column count and approximate row heights—critical for audit logs and evidence tables.</w:t>
      </w:r>
      <w:r>
        <w:t xml:space="preserve"> </w:t>
      </w:r>
      <w:r>
        <w:rPr>
          <w:bCs/>
          <w:b/>
        </w:rPr>
        <w:t xml:space="preserve">Card skeletons</w:t>
      </w:r>
      <w:r>
        <w:t xml:space="preserve"> </w:t>
      </w:r>
      <w:r>
        <w:t xml:space="preserve">combine rectangular blocks with avatar circles and title bars, serving the recipe library and dashboard widgets.</w:t>
      </w:r>
      <w:r>
        <w:t xml:space="preserve"> </w:t>
      </w:r>
      <w:r>
        <w:rPr>
          <w:bCs/>
          <w:b/>
        </w:rPr>
        <w:t xml:space="preserve">Chart skeletons</w:t>
      </w:r>
      <w:r>
        <w:t xml:space="preserve"> </w:t>
      </w:r>
      <w:r>
        <w:t xml:space="preserve">mimic chart container outlines (bars, lines, or pie shapes) so that asynchronous chart-library loading does not produce blank regions.</w:t>
      </w:r>
      <w:r>
        <w:t xml:space="preserve"> </w:t>
      </w:r>
      <w:r>
        <w:rPr>
          <w:bCs/>
          <w:b/>
        </w:rPr>
        <w:t xml:space="preserve">Content skeletons</w:t>
      </w:r>
      <w:r>
        <w:t xml:space="preserve"> </w:t>
      </w:r>
      <w:r>
        <w:t xml:space="preserve">use CSS</w:t>
      </w:r>
      <w:r>
        <w:t xml:space="preserve"> </w:t>
      </w:r>
      <w:r>
        <w:rPr>
          <w:rStyle w:val="VerbatimChar"/>
        </w:rPr>
        <w:t xml:space="preserve">linear-gradient</w:t>
      </w:r>
      <w:r>
        <w:t xml:space="preserve"> </w:t>
      </w:r>
      <w:r>
        <w:t xml:space="preserve">shimmer animations that simulate a passing wave of light, indicating active data fetching</w:t>
      </w:r>
      <w:r>
        <w:t xml:space="preserve"> </w:t>
      </w:r>
      <w:r>
        <w:rPr>
          <w:vertAlign w:val="superscript"/>
        </w:rPr>
        <w:footnoteReference w:id="57"/>
      </w:r>
      <w:r>
        <w:t xml:space="preserve">.</w:t>
      </w:r>
    </w:p>
    <w:p>
      <w:pPr>
        <w:pStyle w:val="BodyText"/>
      </w:pPr>
      <w:r>
        <w:t xml:space="preserve">The CSS shimmer implementation follows established performance best practices. The gradient animates</w:t>
      </w:r>
      <w:r>
        <w:t xml:space="preserve"> </w:t>
      </w:r>
      <w:r>
        <w:rPr>
          <w:rStyle w:val="VerbatimChar"/>
        </w:rPr>
        <w:t xml:space="preserve">transform: translateX()</w:t>
      </w:r>
      <w:r>
        <w:t xml:space="preserve"> </w:t>
      </w:r>
      <w:r>
        <w:t xml:space="preserve">rather than</w:t>
      </w:r>
      <w:r>
        <w:t xml:space="preserve"> </w:t>
      </w:r>
      <w:r>
        <w:rPr>
          <w:rStyle w:val="VerbatimChar"/>
        </w:rPr>
        <w:t xml:space="preserve">background-position</w:t>
      </w:r>
      <w:r>
        <w:t xml:space="preserve"> </w:t>
      </w:r>
      <w:r>
        <w:t xml:space="preserve">for GPU-accelerated rendering that avoids main-thread blocking</w:t>
      </w:r>
      <w:r>
        <w:t xml:space="preserve"> </w:t>
      </w:r>
      <w:r>
        <w:rPr>
          <w:vertAlign w:val="superscript"/>
        </w:rPr>
        <w:footnoteReference w:id="58"/>
      </w:r>
      <w:r>
        <w:t xml:space="preserve">. Multiple skeleton elements on a single page synchronise their shimmer via</w:t>
      </w:r>
      <w:r>
        <w:t xml:space="preserve"> </w:t>
      </w:r>
      <w:r>
        <w:rPr>
          <w:rStyle w:val="VerbatimChar"/>
        </w:rPr>
        <w:t xml:space="preserve">background-attachment: fixed</w:t>
      </w:r>
      <w:r>
        <w:t xml:space="preserve">, creating a cohesive</w:t>
      </w:r>
      <w:r>
        <w:t xml:space="preserve"> </w:t>
      </w:r>
      <w:r>
        <w:t xml:space="preserve">“</w:t>
      </w:r>
      <w:r>
        <w:t xml:space="preserve">wave</w:t>
      </w:r>
      <w:r>
        <w:t xml:space="preserve">”</w:t>
      </w:r>
      <w:r>
        <w:t xml:space="preserve"> </w:t>
      </w:r>
      <w:r>
        <w:t xml:space="preserve">effect across the layout</w:t>
      </w:r>
      <w:r>
        <w:t xml:space="preserve"> </w:t>
      </w:r>
      <w:r>
        <w:rPr>
          <w:vertAlign w:val="superscript"/>
        </w:rPr>
        <w:footnoteReference w:id="59"/>
      </w:r>
      <w:r>
        <w:t xml:space="preserve">. Animation cycles of 1.5-2 seconds feel natural; durations under one second appear frantic, while durations over three seconds feel sluggish</w:t>
      </w:r>
      <w:r>
        <w:t xml:space="preserve"> </w:t>
      </w:r>
      <w:fldSimple w:instr="NOTEREF _Ref_Footnote_41 \h \f">
        <w:r>
          <w:rPr>
            <w:vertAlign w:val="superscript"/>
          </w:rPr>
          <w:t>41</w:t>
        </w:r>
      </w:fldSimple>
      <w:r>
        <w:t xml:space="preserve">. All shimmer keyframes must be wrapped in</w:t>
      </w:r>
      <w:r>
        <w:t xml:space="preserve"> </w:t>
      </w:r>
      <w:r>
        <w:rPr>
          <w:rStyle w:val="VerbatimChar"/>
        </w:rPr>
        <w:t xml:space="preserve">@media (prefers-reduced-motion: reduce)</w:t>
      </w:r>
      <w:r>
        <w:t xml:space="preserve"> </w:t>
      </w:r>
      <w:r>
        <w:t xml:space="preserve">for accessibility compliance</w:t>
      </w:r>
      <w:r>
        <w:t xml:space="preserve"> </w:t>
      </w:r>
      <w:fldSimple w:instr="NOTEREF _Ref_Footnote_58 \h \f">
        <w:r>
          <w:rPr>
            <w:vertAlign w:val="superscript"/>
          </w:rPr>
          <w:t>58</w:t>
        </w:r>
      </w:fldSimple>
      <w:r>
        <w:t xml:space="preserve">.</w:t>
      </w:r>
    </w:p>
    <w:p>
      <w:pPr>
        <w:pStyle w:val="BodyText"/>
      </w:pPr>
      <w:r>
        <w:t xml:space="preserve">Dimension matching is the critical technical requirement: skeleton containers must match final content dimensions within 5% to prevent layout shift. Google’s research confirms that skeleton screens reduce bounce rates by 9-20% compared to traditional spinners, with the top-performing implementations seeing reductions above 20%</w:t>
      </w:r>
      <w:r>
        <w:t xml:space="preserve"> </w:t>
      </w:r>
      <w:fldSimple w:instr="NOTEREF _Ref_Footnote_12 \h \f">
        <w:r>
          <w:rPr>
            <w:vertAlign w:val="superscript"/>
          </w:rPr>
          <w:t>12</w:t>
        </w:r>
      </w:fldSimple>
      <w:r>
        <w:t xml:space="preserve"> </w:t>
      </w:r>
      <w:r>
        <w:rPr>
          <w:vertAlign w:val="superscript"/>
        </w:rPr>
        <w:footnoteReference w:id="60"/>
      </w:r>
      <w:r>
        <w:t xml:space="preserve">. Sites using skeleton screens outperform full-page loaders by 22% on perceived load speed</w:t>
      </w:r>
      <w:r>
        <w:t xml:space="preserve"> </w:t>
      </w:r>
      <w:fldSimple w:instr="NOTEREF _Ref_Footnote_5 \h \f">
        <w:r>
          <w:rPr>
            <w:vertAlign w:val="superscript"/>
          </w:rPr>
          <w:t>5</w:t>
        </w:r>
      </w:fldSimple>
      <w:r>
        <w:t xml:space="preserve">. The median lift in primary CTA clicks across 240 B2B sites is 11%, with the top decile exceeding 20%</w:t>
      </w:r>
      <w:r>
        <w:t xml:space="preserve"> </w:t>
      </w:r>
      <w:fldSimple w:instr="NOTEREF _Ref_Footnote_5 \h \f">
        <w:r>
          <w:rPr>
            <w:vertAlign w:val="superscript"/>
          </w:rPr>
          <w:t>5</w:t>
        </w:r>
      </w:fldSimple>
      <w:r>
        <w:t xml:space="preserve">.</w:t>
      </w:r>
    </w:p>
    <w:bookmarkEnd w:id="40"/>
    <w:bookmarkStart w:id="41" w:name="frontend-technology-stack-for-crp-comply"/>
    <w:p>
      <w:pPr>
        <w:pStyle w:val="Heading3"/>
      </w:pPr>
      <w:r>
        <w:t xml:space="preserve">2.5 Frontend Technology Stack for CRP Comply</w:t>
      </w:r>
    </w:p>
    <w:p>
      <w:pPr>
        <w:pStyle w:val="FirstParagraph"/>
      </w:pPr>
      <w:r>
        <w:t xml:space="preserve">The 2025 consensus stack for React applications—confirmed across frontend architecture research, backend integration analysis, and competitive benchmarking—combines TanStack Query for server state, Zustand for client state, and tRPC for type-safe API communication. This triad provides end-to-end type safety from database schema through to UI components, with automatic caching, background refetching, and optimistic update support</w:t>
      </w:r>
      <w:r>
        <w:t xml:space="preserve"> </w:t>
      </w:r>
      <w:r>
        <w:rPr>
          <w:vertAlign w:val="superscript"/>
        </w:rPr>
        <w:footnoteReference w:id="61"/>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Role</w:t>
            </w:r>
          </w:p>
        </w:tc>
        <w:tc>
          <w:tcPr/>
          <w:p>
            <w:pPr>
              <w:pStyle w:val="Compact"/>
              <w:jc w:val="left"/>
            </w:pPr>
            <w:r>
              <w:t xml:space="preserve">Rationale</w:t>
            </w:r>
          </w:p>
        </w:tc>
        <w:tc>
          <w:tcPr/>
          <w:p>
            <w:pPr>
              <w:pStyle w:val="Compact"/>
              <w:jc w:val="left"/>
            </w:pPr>
            <w:r>
              <w:t xml:space="preserve">Maturity</w:t>
            </w:r>
          </w:p>
        </w:tc>
      </w:tr>
      <w:tr>
        <w:tc>
          <w:tcPr/>
          <w:p>
            <w:pPr>
              <w:pStyle w:val="Compact"/>
              <w:jc w:val="left"/>
            </w:pPr>
            <w:r>
              <w:t xml:space="preserve">Framework</w:t>
            </w:r>
          </w:p>
        </w:tc>
        <w:tc>
          <w:tcPr/>
          <w:p>
            <w:pPr>
              <w:pStyle w:val="Compact"/>
              <w:jc w:val="left"/>
            </w:pPr>
            <w:r>
              <w:t xml:space="preserve">Next.js 15 + React 19</w:t>
            </w:r>
          </w:p>
        </w:tc>
        <w:tc>
          <w:tcPr/>
          <w:p>
            <w:pPr>
              <w:pStyle w:val="Compact"/>
              <w:jc w:val="left"/>
            </w:pPr>
            <w:r>
              <w:t xml:space="preserve">App Router, PPR, RSC</w:t>
            </w:r>
          </w:p>
        </w:tc>
        <w:tc>
          <w:tcPr/>
          <w:p>
            <w:pPr>
              <w:pStyle w:val="Compact"/>
              <w:jc w:val="left"/>
            </w:pPr>
            <w:r>
              <w:t xml:space="preserve">Streaming SSR, Partial Prerendering, Server Components</w:t>
            </w:r>
          </w:p>
        </w:tc>
        <w:tc>
          <w:tcPr/>
          <w:p>
            <w:pPr>
              <w:pStyle w:val="Compact"/>
              <w:jc w:val="left"/>
            </w:pPr>
            <w:r>
              <w:t xml:space="preserve">Production-stable (Vercel, Mux)</w:t>
            </w:r>
            <w:r>
              <w:t xml:space="preserve"> </w:t>
            </w:r>
            <w:fldSimple w:instr="NOTEREF _Ref_Footnote_46 \h \f">
              <w:r>
                <w:rPr>
                  <w:vertAlign w:val="superscript"/>
                </w:rPr>
                <w:t>46</w:t>
              </w:r>
            </w:fldSimple>
            <w:r>
              <w:t xml:space="preserve"> </w:t>
            </w:r>
            <w:fldSimple w:instr="NOTEREF _Ref_Footnote_53 \h \f">
              <w:r>
                <w:rPr>
                  <w:vertAlign w:val="superscript"/>
                </w:rPr>
                <w:t>53</w:t>
              </w:r>
            </w:fldSimple>
          </w:p>
        </w:tc>
      </w:tr>
      <w:tr>
        <w:tc>
          <w:tcPr/>
          <w:p>
            <w:pPr>
              <w:pStyle w:val="Compact"/>
              <w:jc w:val="left"/>
            </w:pPr>
            <w:r>
              <w:t xml:space="preserve">Styling</w:t>
            </w:r>
          </w:p>
        </w:tc>
        <w:tc>
          <w:tcPr/>
          <w:p>
            <w:pPr>
              <w:pStyle w:val="Compact"/>
              <w:jc w:val="left"/>
            </w:pPr>
            <w:r>
              <w:t xml:space="preserve">Tailwind CSS v4</w:t>
            </w:r>
          </w:p>
        </w:tc>
        <w:tc>
          <w:tcPr/>
          <w:p>
            <w:pPr>
              <w:pStyle w:val="Compact"/>
              <w:jc w:val="left"/>
            </w:pPr>
            <w:r>
              <w:t xml:space="preserve">Utility-first CSS</w:t>
            </w:r>
          </w:p>
        </w:tc>
        <w:tc>
          <w:tcPr/>
          <w:p>
            <w:pPr>
              <w:pStyle w:val="Compact"/>
              <w:jc w:val="left"/>
            </w:pPr>
            <w:r>
              <w:t xml:space="preserve">JIT compilation drops dev CSS from 3.5MB to 28KB; Oxide engine delivers 182x faster builds</w:t>
            </w:r>
            <w:r>
              <w:t xml:space="preserve"> </w:t>
            </w:r>
            <w:r>
              <w:rPr>
                <w:vertAlign w:val="superscript"/>
              </w:rPr>
              <w:footnoteReference w:id="62"/>
            </w:r>
          </w:p>
        </w:tc>
        <w:tc>
          <w:tcPr/>
          <w:p>
            <w:pPr>
              <w:pStyle w:val="Compact"/>
              <w:jc w:val="left"/>
            </w:pPr>
            <w:r>
              <w:t xml:space="preserve">Dominant (2025 default)</w:t>
            </w:r>
          </w:p>
        </w:tc>
      </w:tr>
      <w:tr>
        <w:tc>
          <w:tcPr/>
          <w:p>
            <w:pPr>
              <w:pStyle w:val="Compact"/>
              <w:jc w:val="left"/>
            </w:pPr>
            <w:r>
              <w:t xml:space="preserve">Components</w:t>
            </w:r>
          </w:p>
        </w:tc>
        <w:tc>
          <w:tcPr/>
          <w:p>
            <w:pPr>
              <w:pStyle w:val="Compact"/>
              <w:jc w:val="left"/>
            </w:pPr>
            <w:r>
              <w:t xml:space="preserve">shadcn/ui + Radix UI</w:t>
            </w:r>
          </w:p>
        </w:tc>
        <w:tc>
          <w:tcPr/>
          <w:p>
            <w:pPr>
              <w:pStyle w:val="Compact"/>
              <w:jc w:val="left"/>
            </w:pPr>
            <w:r>
              <w:t xml:space="preserve">Accessible primitives</w:t>
            </w:r>
          </w:p>
        </w:tc>
        <w:tc>
          <w:tcPr/>
          <w:p>
            <w:pPr>
              <w:pStyle w:val="Compact"/>
              <w:jc w:val="left"/>
            </w:pPr>
            <w:r>
              <w:t xml:space="preserve">~94.6k GitHub stars; copy-pasteable components on WAI-ARIA compliant Radix primitives</w:t>
            </w:r>
            <w:r>
              <w:t xml:space="preserve"> </w:t>
            </w:r>
            <w:r>
              <w:rPr>
                <w:vertAlign w:val="superscript"/>
              </w:rPr>
              <w:footnoteReference w:id="63"/>
            </w:r>
            <w:r>
              <w:t xml:space="preserve"> </w:t>
            </w:r>
            <w:r>
              <w:rPr>
                <w:vertAlign w:val="superscript"/>
              </w:rPr>
              <w:footnoteReference w:id="64"/>
            </w:r>
          </w:p>
        </w:tc>
        <w:tc>
          <w:tcPr/>
          <w:p>
            <w:pPr>
              <w:pStyle w:val="Compact"/>
              <w:jc w:val="left"/>
            </w:pPr>
            <w:r>
              <w:t xml:space="preserve">Industry standard</w:t>
            </w:r>
          </w:p>
        </w:tc>
      </w:tr>
      <w:tr>
        <w:tc>
          <w:tcPr/>
          <w:p>
            <w:pPr>
              <w:pStyle w:val="Compact"/>
              <w:jc w:val="left"/>
            </w:pPr>
            <w:r>
              <w:t xml:space="preserve">Server State</w:t>
            </w:r>
          </w:p>
        </w:tc>
        <w:tc>
          <w:tcPr/>
          <w:p>
            <w:pPr>
              <w:pStyle w:val="Compact"/>
              <w:jc w:val="left"/>
            </w:pPr>
            <w:r>
              <w:t xml:space="preserve">TanStack Query v5</w:t>
            </w:r>
          </w:p>
        </w:tc>
        <w:tc>
          <w:tcPr/>
          <w:p>
            <w:pPr>
              <w:pStyle w:val="Compact"/>
              <w:jc w:val="left"/>
            </w:pPr>
            <w:r>
              <w:t xml:space="preserve">Data fetching, caching, infinite scroll</w:t>
            </w:r>
          </w:p>
        </w:tc>
        <w:tc>
          <w:tcPr/>
          <w:p>
            <w:pPr>
              <w:pStyle w:val="Compact"/>
              <w:jc w:val="left"/>
            </w:pPr>
            <w:r>
              <w:t xml:space="preserve">Automatic stale-while-revalidate, deduplication,</w:t>
            </w:r>
            <w:r>
              <w:t xml:space="preserve"> </w:t>
            </w:r>
            <w:r>
              <w:rPr>
                <w:rStyle w:val="VerbatimChar"/>
              </w:rPr>
              <w:t xml:space="preserve">useInfiniteQuery</w:t>
            </w:r>
            <w:r>
              <w:t xml:space="preserve"> </w:t>
            </w:r>
            <w:r>
              <w:t xml:space="preserve">with race-condition prevention</w:t>
            </w:r>
            <w:r>
              <w:t xml:space="preserve"> </w:t>
            </w:r>
            <w:fldSimple w:instr="NOTEREF _Ref_Footnote_61 \h \f">
              <w:r>
                <w:rPr>
                  <w:vertAlign w:val="superscript"/>
                </w:rPr>
                <w:t>61</w:t>
              </w:r>
            </w:fldSimple>
            <w:r>
              <w:t xml:space="preserve"> </w:t>
            </w:r>
            <w:r>
              <w:rPr>
                <w:vertAlign w:val="superscript"/>
              </w:rPr>
              <w:footnoteReference w:id="65"/>
            </w:r>
          </w:p>
        </w:tc>
        <w:tc>
          <w:tcPr/>
          <w:p>
            <w:pPr>
              <w:pStyle w:val="Compact"/>
              <w:jc w:val="left"/>
            </w:pPr>
            <w:r>
              <w:t xml:space="preserve">2025 consensus</w:t>
            </w:r>
          </w:p>
        </w:tc>
      </w:tr>
      <w:tr>
        <w:tc>
          <w:tcPr/>
          <w:p>
            <w:pPr>
              <w:pStyle w:val="Compact"/>
              <w:jc w:val="left"/>
            </w:pPr>
            <w:r>
              <w:t xml:space="preserve">Client State</w:t>
            </w:r>
          </w:p>
        </w:tc>
        <w:tc>
          <w:tcPr/>
          <w:p>
            <w:pPr>
              <w:pStyle w:val="Compact"/>
              <w:jc w:val="left"/>
            </w:pPr>
            <w:r>
              <w:t xml:space="preserve">Zustand</w:t>
            </w:r>
          </w:p>
        </w:tc>
        <w:tc>
          <w:tcPr/>
          <w:p>
            <w:pPr>
              <w:pStyle w:val="Compact"/>
              <w:jc w:val="left"/>
            </w:pPr>
            <w:r>
              <w:t xml:space="preserve">Lightweight global state</w:t>
            </w:r>
          </w:p>
        </w:tc>
        <w:tc>
          <w:tcPr/>
          <w:p>
            <w:pPr>
              <w:pStyle w:val="Compact"/>
              <w:jc w:val="left"/>
            </w:pPr>
            <w:r>
              <w:t xml:space="preserve">35ms state updates (vs 65ms Redux); minimal boilerplate, middleware ecosystem</w:t>
            </w:r>
            <w:r>
              <w:t xml:space="preserve"> </w:t>
            </w:r>
            <w:r>
              <w:rPr>
                <w:vertAlign w:val="superscript"/>
              </w:rPr>
              <w:footnoteReference w:id="66"/>
            </w:r>
          </w:p>
        </w:tc>
        <w:tc>
          <w:tcPr/>
          <w:p>
            <w:pPr>
              <w:pStyle w:val="Compact"/>
              <w:jc w:val="left"/>
            </w:pPr>
            <w:r>
              <w:t xml:space="preserve">2025 consensus</w:t>
            </w:r>
          </w:p>
        </w:tc>
      </w:tr>
      <w:tr>
        <w:tc>
          <w:tcPr/>
          <w:p>
            <w:pPr>
              <w:pStyle w:val="Compact"/>
              <w:jc w:val="left"/>
            </w:pPr>
            <w:r>
              <w:t xml:space="preserve">Type Safety</w:t>
            </w:r>
          </w:p>
        </w:tc>
        <w:tc>
          <w:tcPr/>
          <w:p>
            <w:pPr>
              <w:pStyle w:val="Compact"/>
              <w:jc w:val="left"/>
            </w:pPr>
            <w:r>
              <w:t xml:space="preserve">tRPC + Zod</w:t>
            </w:r>
          </w:p>
        </w:tc>
        <w:tc>
          <w:tcPr/>
          <w:p>
            <w:pPr>
              <w:pStyle w:val="Compact"/>
              <w:jc w:val="left"/>
            </w:pPr>
            <w:r>
              <w:t xml:space="preserve">End-to-end type safety</w:t>
            </w:r>
          </w:p>
        </w:tc>
        <w:tc>
          <w:tcPr/>
          <w:p>
            <w:pPr>
              <w:pStyle w:val="Compact"/>
              <w:jc w:val="left"/>
            </w:pPr>
            <w:r>
              <w:t xml:space="preserve">Client knows exact server return types; eliminates API contract drift</w:t>
            </w:r>
          </w:p>
        </w:tc>
        <w:tc>
          <w:tcPr/>
          <w:p>
            <w:pPr>
              <w:pStyle w:val="Compact"/>
              <w:jc w:val="left"/>
            </w:pPr>
            <w:r>
              <w:t xml:space="preserve">Production-validated</w:t>
            </w:r>
          </w:p>
        </w:tc>
      </w:tr>
      <w:tr>
        <w:tc>
          <w:tcPr/>
          <w:p>
            <w:pPr>
              <w:pStyle w:val="Compact"/>
              <w:jc w:val="left"/>
            </w:pPr>
            <w:r>
              <w:t xml:space="preserve">Streaming</w:t>
            </w:r>
          </w:p>
        </w:tc>
        <w:tc>
          <w:tcPr/>
          <w:p>
            <w:pPr>
              <w:pStyle w:val="Compact"/>
              <w:jc w:val="left"/>
            </w:pPr>
            <w:r>
              <w:t xml:space="preserve">SSE (EventSource)</w:t>
            </w:r>
          </w:p>
        </w:tc>
        <w:tc>
          <w:tcPr/>
          <w:p>
            <w:pPr>
              <w:pStyle w:val="Compact"/>
              <w:jc w:val="left"/>
            </w:pPr>
            <w:r>
              <w:t xml:space="preserve">AI streaming, real-time feeds</w:t>
            </w:r>
          </w:p>
        </w:tc>
        <w:tc>
          <w:tcPr/>
          <w:p>
            <w:pPr>
              <w:pStyle w:val="Compact"/>
              <w:jc w:val="left"/>
            </w:pPr>
            <w:r>
              <w:t xml:space="preserve">Simpler than WebSockets, auto-reconnect, HTTP/2 multiplexed</w:t>
            </w:r>
            <w:r>
              <w:t xml:space="preserve"> </w:t>
            </w:r>
            <w:fldSimple w:instr="NOTEREF _Ref_Footnote_11 \h \f">
              <w:r>
                <w:rPr>
                  <w:vertAlign w:val="superscript"/>
                </w:rPr>
                <w:t>11</w:t>
              </w:r>
            </w:fldSimple>
            <w:r>
              <w:t xml:space="preserve"> </w:t>
            </w:r>
            <w:fldSimple w:instr="NOTEREF _Ref_Footnote_49 \h \f">
              <w:r>
                <w:rPr>
                  <w:vertAlign w:val="superscript"/>
                </w:rPr>
                <w:t>49</w:t>
              </w:r>
            </w:fldSimple>
          </w:p>
        </w:tc>
        <w:tc>
          <w:tcPr/>
          <w:p>
            <w:pPr>
              <w:pStyle w:val="Compact"/>
              <w:jc w:val="left"/>
            </w:pPr>
            <w:r>
              <w:t xml:space="preserve">Browser-native</w:t>
            </w:r>
          </w:p>
        </w:tc>
      </w:tr>
      <w:tr>
        <w:tc>
          <w:tcPr/>
          <w:p>
            <w:pPr>
              <w:pStyle w:val="Compact"/>
              <w:jc w:val="left"/>
            </w:pPr>
            <w:r>
              <w:t xml:space="preserve">Virtualisation</w:t>
            </w:r>
          </w:p>
        </w:tc>
        <w:tc>
          <w:tcPr/>
          <w:p>
            <w:pPr>
              <w:pStyle w:val="Compact"/>
              <w:jc w:val="left"/>
            </w:pPr>
            <w:r>
              <w:t xml:space="preserve">TanStack Virtual</w:t>
            </w:r>
          </w:p>
        </w:tc>
        <w:tc>
          <w:tcPr/>
          <w:p>
            <w:pPr>
              <w:pStyle w:val="Compact"/>
              <w:jc w:val="left"/>
            </w:pPr>
            <w:r>
              <w:t xml:space="preserve">Large list rendering</w:t>
            </w:r>
          </w:p>
        </w:tc>
        <w:tc>
          <w:tcPr/>
          <w:p>
            <w:pPr>
              <w:pStyle w:val="Compact"/>
              <w:jc w:val="left"/>
            </w:pPr>
            <w:r>
              <w:t xml:space="preserve">700MB+ to under 300MB memory; 20,000 to ~20-30 active DOM nodes</w:t>
            </w:r>
            <w:r>
              <w:t xml:space="preserve"> </w:t>
            </w:r>
            <w:r>
              <w:rPr>
                <w:vertAlign w:val="superscript"/>
              </w:rPr>
              <w:footnoteReference w:id="67"/>
            </w:r>
            <w:r>
              <w:t xml:space="preserve"> </w:t>
            </w:r>
            <w:r>
              <w:rPr>
                <w:vertAlign w:val="superscript"/>
              </w:rPr>
              <w:footnoteReference w:id="68"/>
            </w:r>
          </w:p>
        </w:tc>
        <w:tc>
          <w:tcPr/>
          <w:p>
            <w:pPr>
              <w:pStyle w:val="Compact"/>
              <w:jc w:val="left"/>
            </w:pPr>
            <w:r>
              <w:t xml:space="preserve">Purpose-built for chat/logs</w:t>
            </w:r>
          </w:p>
        </w:tc>
      </w:tr>
      <w:tr>
        <w:tc>
          <w:tcPr/>
          <w:p>
            <w:pPr>
              <w:pStyle w:val="Compact"/>
              <w:jc w:val="left"/>
            </w:pPr>
            <w:r>
              <w:t xml:space="preserve">Animation</w:t>
            </w:r>
          </w:p>
        </w:tc>
        <w:tc>
          <w:tcPr/>
          <w:p>
            <w:pPr>
              <w:pStyle w:val="Compact"/>
              <w:jc w:val="left"/>
            </w:pPr>
            <w:r>
              <w:t xml:space="preserve">Motion v12</w:t>
            </w:r>
          </w:p>
        </w:tc>
        <w:tc>
          <w:tcPr/>
          <w:p>
            <w:pPr>
              <w:pStyle w:val="Compact"/>
              <w:jc w:val="left"/>
            </w:pPr>
            <w:r>
              <w:t xml:space="preserve">Micro-interactions, transitions</w:t>
            </w:r>
          </w:p>
        </w:tc>
        <w:tc>
          <w:tcPr/>
          <w:p>
            <w:pPr>
              <w:pStyle w:val="Compact"/>
              <w:jc w:val="left"/>
            </w:pPr>
            <w:r>
              <w:t xml:space="preserve">Hardware-accelerated, oklch colour support, React 19 compatible</w:t>
            </w:r>
            <w:r>
              <w:t xml:space="preserve"> </w:t>
            </w:r>
            <w:r>
              <w:rPr>
                <w:vertAlign w:val="superscript"/>
              </w:rPr>
              <w:footnoteReference w:id="69"/>
            </w:r>
          </w:p>
        </w:tc>
        <w:tc>
          <w:tcPr/>
          <w:p>
            <w:pPr>
              <w:pStyle w:val="Compact"/>
              <w:jc w:val="left"/>
            </w:pPr>
            <w:r>
              <w:t xml:space="preserve">Framer Motion successor</w:t>
            </w:r>
          </w:p>
        </w:tc>
      </w:tr>
      <w:tr>
        <w:tc>
          <w:tcPr/>
          <w:p>
            <w:pPr>
              <w:pStyle w:val="Compact"/>
              <w:jc w:val="left"/>
            </w:pPr>
            <w:r>
              <w:t xml:space="preserve">Command Palette</w:t>
            </w:r>
          </w:p>
        </w:tc>
        <w:tc>
          <w:tcPr/>
          <w:p>
            <w:pPr>
              <w:pStyle w:val="Compact"/>
              <w:jc w:val="left"/>
            </w:pPr>
            <w:r>
              <w:t xml:space="preserve">cmdk</w:t>
            </w:r>
          </w:p>
        </w:tc>
        <w:tc>
          <w:tcPr/>
          <w:p>
            <w:pPr>
              <w:pStyle w:val="Compact"/>
              <w:jc w:val="left"/>
            </w:pPr>
            <w:r>
              <w:t xml:space="preserve">Global CMD+K search</w:t>
            </w:r>
          </w:p>
        </w:tc>
        <w:tc>
          <w:tcPr/>
          <w:p>
            <w:pPr>
              <w:pStyle w:val="Compact"/>
              <w:jc w:val="left"/>
            </w:pPr>
            <w:r>
              <w:t xml:space="preserve">Powers Linear, Vercel, Raycast; fuzzy search filters 1,000 commands in &lt;5ms</w:t>
            </w:r>
            <w:r>
              <w:t xml:space="preserve"> </w:t>
            </w:r>
            <w:fldSimple w:instr="NOTEREF _Ref_Footnote_15 \h \f">
              <w:r>
                <w:rPr>
                  <w:vertAlign w:val="superscript"/>
                </w:rPr>
                <w:t>15</w:t>
              </w:r>
            </w:fldSimple>
          </w:p>
        </w:tc>
        <w:tc>
          <w:tcPr/>
          <w:p>
            <w:pPr>
              <w:pStyle w:val="Compact"/>
              <w:jc w:val="left"/>
            </w:pPr>
            <w:r>
              <w:t xml:space="preserve">De facto standard</w:t>
            </w:r>
          </w:p>
        </w:tc>
      </w:tr>
    </w:tbl>
    <w:p>
      <w:pPr>
        <w:pStyle w:val="BodyText"/>
      </w:pPr>
      <w:r>
        <w:t xml:space="preserve">This stack is not speculative—it is the architecture powering the most performance-critical React applications in production. shadcn/ui’s decision to distribute components as copy-pasteable code rather than npm dependencies means CRP Comply owns every component and can customise skeleton states, loading patterns, and accessibility behaviour without waiting for upstream releases</w:t>
      </w:r>
      <w:r>
        <w:t xml:space="preserve"> </w:t>
      </w:r>
      <w:fldSimple w:instr="NOTEREF _Ref_Footnote_63 \h \f">
        <w:r>
          <w:rPr>
            <w:vertAlign w:val="superscript"/>
          </w:rPr>
          <w:t>63</w:t>
        </w:r>
      </w:fldSimple>
      <w:r>
        <w:t xml:space="preserve">. Radix UI primitives provide WAI-ARIA compliant design patterns with full keyboard navigation, focus traps, and screen-reader testing out of the box; the 130 million monthly downloads across the ecosystem reflect de facto standard status</w:t>
      </w:r>
      <w:r>
        <w:t xml:space="preserve"> </w:t>
      </w:r>
      <w:fldSimple w:instr="NOTEREF _Ref_Footnote_64 \h \f">
        <w:r>
          <w:rPr>
            <w:vertAlign w:val="superscript"/>
          </w:rPr>
          <w:t>64</w:t>
        </w:r>
      </w:fldSimple>
      <w:r>
        <w:t xml:space="preserve">.</w:t>
      </w:r>
    </w:p>
    <w:p>
      <w:pPr>
        <w:pStyle w:val="BodyText"/>
      </w:pPr>
      <w:r>
        <w:t xml:space="preserve">Motion v12 (renamed from Framer Motion in mid-2025) pairs naturally with Tailwind CSS: Tailwind handles visual design while Motion handles movement, requiring no CSS keyframes or timeline libraries</w:t>
      </w:r>
      <w:r>
        <w:t xml:space="preserve"> </w:t>
      </w:r>
      <w:fldSimple w:instr="NOTEREF _Ref_Footnote_69 \h \f">
        <w:r>
          <w:rPr>
            <w:vertAlign w:val="superscript"/>
          </w:rPr>
          <w:t>69</w:t>
        </w:r>
      </w:fldSimple>
      <w:r>
        <w:t xml:space="preserve">. For compliance-specific transitions—toast notifications appearing when a document generation completes, layout animations when an audit status changes, micro-interactions on button clicks—Motion’s spring physics provide natural-feeling movement that reinforces the perception of responsiveness.</w:t>
      </w:r>
    </w:p>
    <w:p>
      <w:pPr>
        <w:pStyle w:val="BodyText"/>
      </w:pPr>
      <w:r>
        <w:t xml:space="preserve">cmdk by Paco Coursey (Vercel) is the de facto command palette library for React, powering Linear, Raycast, Vercel, and GitHub interfaces</w:t>
      </w:r>
      <w:r>
        <w:t xml:space="preserve"> </w:t>
      </w:r>
      <w:fldSimple w:instr="NOTEREF _Ref_Footnote_15 \h \f">
        <w:r>
          <w:rPr>
            <w:vertAlign w:val="superscript"/>
          </w:rPr>
          <w:t>15</w:t>
        </w:r>
      </w:fldSimple>
      <w:r>
        <w:t xml:space="preserve">. For CRP Comply, the command palette serves as the primary navigation accelerator: users type</w:t>
      </w:r>
      <w:r>
        <w:t xml:space="preserve"> </w:t>
      </w:r>
      <w:r>
        <w:t xml:space="preserve">“</w:t>
      </w:r>
      <w:r>
        <w:t xml:space="preserve">Annex IV</w:t>
      </w:r>
      <w:r>
        <w:t xml:space="preserve">”</w:t>
      </w:r>
      <w:r>
        <w:t xml:space="preserve"> </w:t>
      </w:r>
      <w:r>
        <w:t xml:space="preserve">to generate a technical documentation package,</w:t>
      </w:r>
      <w:r>
        <w:t xml:space="preserve"> </w:t>
      </w:r>
      <w:r>
        <w:t xml:space="preserve">“</w:t>
      </w:r>
      <w:r>
        <w:t xml:space="preserve">DPIA</w:t>
      </w:r>
      <w:r>
        <w:t xml:space="preserve">”</w:t>
      </w:r>
      <w:r>
        <w:t xml:space="preserve"> </w:t>
      </w:r>
      <w:r>
        <w:t xml:space="preserve">to launch a data protection impact assessment, or</w:t>
      </w:r>
      <w:r>
        <w:t xml:space="preserve"> </w:t>
      </w:r>
      <w:r>
        <w:t xml:space="preserve">“</w:t>
      </w:r>
      <w:r>
        <w:t xml:space="preserve">evidence</w:t>
      </w:r>
      <w:r>
        <w:t xml:space="preserve">”</w:t>
      </w:r>
      <w:r>
        <w:t xml:space="preserve"> </w:t>
      </w:r>
      <w:r>
        <w:t xml:space="preserve">to jump to the Vault. Fuzzy search with</w:t>
      </w:r>
      <w:r>
        <w:t xml:space="preserve"> </w:t>
      </w:r>
      <w:r>
        <w:rPr>
          <w:rStyle w:val="VerbatimChar"/>
        </w:rPr>
        <w:t xml:space="preserve">command-score</w:t>
      </w:r>
      <w:r>
        <w:t xml:space="preserve"> </w:t>
      </w:r>
      <w:r>
        <w:t xml:space="preserve">filters 1,000 registered commands in under five milliseconds, keeping interaction below the 100ms instant-perception threshold</w:t>
      </w:r>
      <w:r>
        <w:t xml:space="preserve"> </w:t>
      </w:r>
      <w:fldSimple w:instr="NOTEREF _Ref_Footnote_15 \h \f">
        <w:r>
          <w:rPr>
            <w:vertAlign w:val="superscript"/>
          </w:rPr>
          <w:t>15</w:t>
        </w:r>
      </w:fldSimple>
      <w:r>
        <w:t xml:space="preserve">. Recent commands persist to localStorage, and sub-palettes enable slash-command navigation (</w:t>
      </w:r>
      <w:r>
        <w:t xml:space="preserve">“</w:t>
      </w:r>
      <w:r>
        <w:t xml:space="preserve">/</w:t>
      </w:r>
      <w:r>
        <w:t xml:space="preserve">”</w:t>
      </w:r>
      <w:r>
        <w:t xml:space="preserve"> </w:t>
      </w:r>
      <w:r>
        <w:t xml:space="preserve">triggers filter-scoped search). The palette should open on Cmd+K within 100ms, maintaining the flow state that menu hunting would otherwise disrupt.</w:t>
      </w:r>
    </w:p>
    <w:p>
      <w:pPr>
        <w:pStyle w:val="BodyText"/>
      </w:pPr>
      <w:r>
        <w:t xml:space="preserve">The integration of these technologies creates a compounding effect. TanStack Query’s</w:t>
      </w:r>
      <w:r>
        <w:t xml:space="preserve"> </w:t>
      </w:r>
      <w:r>
        <w:rPr>
          <w:rStyle w:val="VerbatimChar"/>
        </w:rPr>
        <w:t xml:space="preserve">staleTime</w:t>
      </w:r>
      <w:r>
        <w:t xml:space="preserve"> </w:t>
      </w:r>
      <w:r>
        <w:t xml:space="preserve">configuration (five minutes by default) means dashboard data remains cached and instantly visible during navigation. Zustand’s</w:t>
      </w:r>
      <w:r>
        <w:t xml:space="preserve"> </w:t>
      </w:r>
      <w:r>
        <w:rPr>
          <w:rStyle w:val="VerbatimChar"/>
        </w:rPr>
        <w:t xml:space="preserve">persist</w:t>
      </w:r>
      <w:r>
        <w:t xml:space="preserve"> </w:t>
      </w:r>
      <w:r>
        <w:t xml:space="preserve">middleware saves UI state—command palette history, sidebar collapse state, theme preference—to sessionStorage with minimal configuration</w:t>
      </w:r>
      <w:r>
        <w:t xml:space="preserve"> </w:t>
      </w:r>
      <w:r>
        <w:rPr>
          <w:vertAlign w:val="superscript"/>
        </w:rPr>
        <w:footnoteReference w:id="70"/>
      </w:r>
      <w:r>
        <w:t xml:space="preserve">. PPR serves the static application shell from a CDN edge in under 20ms while streaming dynamic compliance data into Suspense boundaries. SSE delivers AI reasoning tokens as they are generated, with the first-chunk pattern eliminating the waiting-to-streaming transition. Skeleton screens reserve space for every asynchronous component, reducing CLS to near zero. Optimistic UI makes every mutation feel instant. Together, these layers create a frontend where compliance professionals experience the platform as continuously responsive—even when backend operations require seconds to complete.</w:t>
      </w:r>
    </w:p>
    <w:p>
      <w:r>
        <w:pict>
          <v:rect style="width:0;height:1.5pt" o:hralign="center" o:hrstd="t" o:hr="t"/>
        </w:pict>
      </w:r>
    </w:p>
    <w:bookmarkEnd w:id="41"/>
    <w:bookmarkEnd w:id="42"/>
    <w:bookmarkStart w:id="50" w:name="navigation-power-user-efficiency"/>
    <w:p>
      <w:pPr>
        <w:pStyle w:val="Heading2"/>
      </w:pPr>
      <w:r>
        <w:t xml:space="preserve">3. Navigation &amp; Power-User Efficiency</w:t>
      </w:r>
    </w:p>
    <w:bookmarkStart w:id="43" w:name="command-palette-cmdk-as-table-stakes"/>
    <w:p>
      <w:pPr>
        <w:pStyle w:val="Heading3"/>
      </w:pPr>
      <w:r>
        <w:t xml:space="preserve">3.1 Command Palette (CMD+K) as Table Stakes</w:t>
      </w:r>
    </w:p>
    <w:p>
      <w:pPr>
        <w:pStyle w:val="FirstParagraph"/>
      </w:pPr>
      <w:r>
        <w:t xml:space="preserve">The command palette has become the defining interaction pattern of modern productivity software. What began as a niche feature in code editors is now table stakes: Linear, Raycast, Vercel, GitHub, and Notion all expose their full functionality through a CMD+K (or Ctrl+K) interface</w:t>
      </w:r>
      <w:r>
        <w:t xml:space="preserve"> </w:t>
      </w:r>
      <w:fldSimple w:instr="NOTEREF _Ref_Footnote_15 \h \f">
        <w:r>
          <w:rPr>
            <w:vertAlign w:val="superscript"/>
          </w:rPr>
          <w:t>15</w:t>
        </w:r>
      </w:fldSimple>
      <w:r>
        <w:t xml:space="preserve">. The psychological principle that makes this pattern so effective is</w:t>
      </w:r>
      <w:r>
        <w:t xml:space="preserve"> </w:t>
      </w:r>
      <w:r>
        <w:rPr>
          <w:iCs/>
          <w:i/>
        </w:rPr>
        <w:t xml:space="preserve">recognition over recall</w:t>
      </w:r>
      <w:r>
        <w:t xml:space="preserve"> </w:t>
      </w:r>
      <w:r>
        <w:t xml:space="preserve">– users type a few characters and recognise the desired action from a filtered list rather than recalling its precise location in a menu hierarchy</w:t>
      </w:r>
      <w:r>
        <w:t xml:space="preserve"> </w:t>
      </w:r>
      <w:r>
        <w:rPr>
          <w:vertAlign w:val="superscript"/>
        </w:rPr>
        <w:footnoteReference w:id="71"/>
      </w:r>
      <w:r>
        <w:t xml:space="preserve">. For complex compliance software with 36 recipes, a document Vault, and multiple frameworks, this distinction is not cosmetic; it determines whether users remain in a productive flow state or abandon the tool in frustration.</w:t>
      </w:r>
    </w:p>
    <w:p>
      <w:pPr>
        <w:pStyle w:val="BodyText"/>
      </w:pPr>
      <w:r>
        <w:t xml:space="preserve">The</w:t>
      </w:r>
      <w:r>
        <w:t xml:space="preserve"> </w:t>
      </w:r>
      <w:r>
        <w:rPr>
          <w:rStyle w:val="VerbatimChar"/>
        </w:rPr>
        <w:t xml:space="preserve">cmdk</w:t>
      </w:r>
      <w:r>
        <w:t xml:space="preserve"> </w:t>
      </w:r>
      <w:r>
        <w:t xml:space="preserve">library by Paco Coursey (Vercel) has become the de facto standard for React command palettes, adopted by Linear, Raycast, Vercel, and Sourcegraph</w:t>
      </w:r>
      <w:r>
        <w:t xml:space="preserve"> </w:t>
      </w:r>
      <w:fldSimple w:instr="NOTEREF _Ref_Footnote_15 \h \f">
        <w:r>
          <w:rPr>
            <w:vertAlign w:val="superscript"/>
          </w:rPr>
          <w:t>15</w:t>
        </w:r>
      </w:fldSimple>
      <w:r>
        <w:t xml:space="preserve"> </w:t>
      </w:r>
      <w:fldSimple w:instr="NOTEREF _Ref_Footnote_63 \h \f">
        <w:r>
          <w:rPr>
            <w:vertAlign w:val="superscript"/>
          </w:rPr>
          <w:t>63</w:t>
        </w:r>
      </w:fldSimple>
      <w:r>
        <w:t xml:space="preserve">. It filters even 1{,}000 commands in under 5ms using the</w:t>
      </w:r>
      <w:r>
        <w:t xml:space="preserve"> </w:t>
      </w:r>
      <w:r>
        <w:rPr>
          <w:rStyle w:val="VerbatimChar"/>
        </w:rPr>
        <w:t xml:space="preserve">command-score</w:t>
      </w:r>
      <w:r>
        <w:t xml:space="preserve"> </w:t>
      </w:r>
      <w:r>
        <w:t xml:space="preserve">fuzzy matching engine</w:t>
      </w:r>
      <w:r>
        <w:t xml:space="preserve"> </w:t>
      </w:r>
      <w:fldSimple w:instr="NOTEREF _Ref_Footnote_15 \h \f">
        <w:r>
          <w:rPr>
            <w:vertAlign w:val="superscript"/>
          </w:rPr>
          <w:t>15</w:t>
        </w:r>
      </w:fldSimple>
      <w:r>
        <w:t xml:space="preserve">. Raycast’s team has established 50ms as the perceptibility threshold – any latency above this degrades the user experience</w:t>
      </w:r>
      <w:r>
        <w:t xml:space="preserve"> </w:t>
      </w:r>
      <w:r>
        <w:rPr>
          <w:vertAlign w:val="superscript"/>
        </w:rPr>
        <w:footnoteReference w:id="72"/>
      </w:r>
      <w:r>
        <w:t xml:space="preserve">– while the palette itself should appear in under 100ms to maintain flow state</w:t>
      </w:r>
      <w:r>
        <w:t xml:space="preserve"> </w:t>
      </w:r>
      <w:fldSimple w:instr="NOTEREF _Ref_Footnote_15 \h \f">
        <w:r>
          <w:rPr>
            <w:vertAlign w:val="superscript"/>
          </w:rPr>
          <w:t>15</w:t>
        </w:r>
      </w:fldSimple>
      <w:r>
        <w:t xml:space="preserve">. Beyond speed, the most effective palettes share architectural conventions: Linear uses fuzzy search with context-aware results, hierarchical sub-palettes (e.g.,</w:t>
      </w:r>
      <w:r>
        <w:t xml:space="preserve"> </w:t>
      </w:r>
      <w:r>
        <w:t xml:space="preserve">“</w:t>
      </w:r>
      <w:r>
        <w:t xml:space="preserve">Move issue</w:t>
      </w:r>
      <w:r>
        <w:t xml:space="preserve">”</w:t>
      </w:r>
      <w:r>
        <w:t xml:space="preserve"> </w:t>
      </w:r>
      <w:r>
        <w:t xml:space="preserve">opens a project selector with breadcrumb indicators), and</w:t>
      </w:r>
      <w:r>
        <w:t xml:space="preserve"> </w:t>
      </w:r>
      <w:r>
        <w:rPr>
          <w:rStyle w:val="VerbatimChar"/>
        </w:rPr>
        <w:t xml:space="preserve">g</w:t>
      </w:r>
      <w:r>
        <w:t xml:space="preserve">-then-letter navigation shortcuts</w:t>
      </w:r>
      <w:r>
        <w:t xml:space="preserve"> </w:t>
      </w:r>
      <w:r>
        <w:rPr>
          <w:vertAlign w:val="superscript"/>
        </w:rPr>
        <w:footnoteReference w:id="73"/>
      </w:r>
      <w:r>
        <w:t xml:space="preserve">. Recent commands surfaced at the top of the palette when no query is entered – persisted to localStorage – boost repeat-use efficiency dramatically</w:t>
      </w:r>
      <w:r>
        <w:t xml:space="preserve"> </w:t>
      </w:r>
      <w:fldSimple w:instr="NOTEREF _Ref_Footnote_15 \h \f">
        <w:r>
          <w:rPr>
            <w:vertAlign w:val="superscript"/>
          </w:rPr>
          <w:t>15</w:t>
        </w:r>
      </w:fldSimple>
      <w:r>
        <w:t xml:space="preserve">.</w:t>
      </w:r>
    </w:p>
    <w:p>
      <w:pPr>
        <w:pStyle w:val="BodyText"/>
      </w:pPr>
      <w:r>
        <w:t xml:space="preserve">For CRP Comply, the palette serves as the primary efficiency surface: typing</w:t>
      </w:r>
      <w:r>
        <w:t xml:space="preserve"> </w:t>
      </w:r>
      <w:r>
        <w:t xml:space="preserve">“</w:t>
      </w:r>
      <w:r>
        <w:t xml:space="preserve">classify</w:t>
      </w:r>
      <w:r>
        <w:t xml:space="preserve">”</w:t>
      </w:r>
      <w:r>
        <w:t xml:space="preserve"> </w:t>
      </w:r>
      <w:r>
        <w:t xml:space="preserve">reaches the classification recipe,</w:t>
      </w:r>
      <w:r>
        <w:t xml:space="preserve"> </w:t>
      </w:r>
      <w:r>
        <w:t xml:space="preserve">“</w:t>
      </w:r>
      <w:r>
        <w:t xml:space="preserve">draft</w:t>
      </w:r>
      <w:r>
        <w:t xml:space="preserve">”</w:t>
      </w:r>
      <w:r>
        <w:t xml:space="preserve"> </w:t>
      </w:r>
      <w:r>
        <w:t xml:space="preserve">triggers document generation,</w:t>
      </w:r>
      <w:r>
        <w:t xml:space="preserve"> </w:t>
      </w:r>
      <w:r>
        <w:t xml:space="preserve">“</w:t>
      </w:r>
      <w:r>
        <w:t xml:space="preserve">SOC2</w:t>
      </w:r>
      <w:r>
        <w:t xml:space="preserve">”</w:t>
      </w:r>
      <w:r>
        <w:t xml:space="preserve"> </w:t>
      </w:r>
      <w:r>
        <w:t xml:space="preserve">or</w:t>
      </w:r>
      <w:r>
        <w:t xml:space="preserve"> </w:t>
      </w:r>
      <w:r>
        <w:t xml:space="preserve">“</w:t>
      </w:r>
      <w:r>
        <w:t xml:space="preserve">ISO27001</w:t>
      </w:r>
      <w:r>
        <w:t xml:space="preserve">”</w:t>
      </w:r>
      <w:r>
        <w:t xml:space="preserve"> </w:t>
      </w:r>
      <w:r>
        <w:t xml:space="preserve">navigates frameworks, and vault document names yield instant retrieval.</w:t>
      </w:r>
    </w:p>
    <w:p>
      <w:pPr>
        <w:pStyle w:val="BodyText"/>
      </w:pPr>
      <w:r>
        <w:t xml:space="preserve">The following table compares command palette implementations across leading productivity platforms, identifying the patterns CRP Comply should adopt.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Open Shortcut</w:t>
            </w:r>
          </w:p>
        </w:tc>
        <w:tc>
          <w:tcPr/>
          <w:p>
            <w:pPr>
              <w:pStyle w:val="Compact"/>
              <w:jc w:val="left"/>
            </w:pPr>
            <w:r>
              <w:t xml:space="preserve">Fuzzy Search</w:t>
            </w:r>
          </w:p>
        </w:tc>
        <w:tc>
          <w:tcPr/>
          <w:p>
            <w:pPr>
              <w:pStyle w:val="Compact"/>
              <w:jc w:val="left"/>
            </w:pPr>
            <w:r>
              <w:t xml:space="preserve">Recent Commands</w:t>
            </w:r>
          </w:p>
        </w:tc>
        <w:tc>
          <w:tcPr/>
          <w:p>
            <w:pPr>
              <w:pStyle w:val="Compact"/>
              <w:jc w:val="left"/>
            </w:pPr>
            <w:r>
              <w:t xml:space="preserve">Sub-Palettes</w:t>
            </w:r>
          </w:p>
        </w:tc>
        <w:tc>
          <w:tcPr/>
          <w:p>
            <w:pPr>
              <w:pStyle w:val="Compact"/>
              <w:jc w:val="left"/>
            </w:pPr>
            <w:r>
              <w:t xml:space="preserve">VIM-Style Nav</w:t>
            </w:r>
          </w:p>
        </w:tc>
        <w:tc>
          <w:tcPr/>
          <w:p>
            <w:pPr>
              <w:pStyle w:val="Compact"/>
              <w:jc w:val="left"/>
            </w:pPr>
            <w:r>
              <w:t xml:space="preserve">Response Target</w:t>
            </w:r>
          </w:p>
        </w:tc>
      </w:tr>
      <w:tr>
        <w:tc>
          <w:tcPr/>
          <w:p>
            <w:pPr>
              <w:pStyle w:val="Compact"/>
              <w:jc w:val="left"/>
            </w:pPr>
            <w:r>
              <w:t xml:space="preserve">Linear</w:t>
            </w:r>
          </w:p>
        </w:tc>
        <w:tc>
          <w:tcPr/>
          <w:p>
            <w:pPr>
              <w:pStyle w:val="Compact"/>
              <w:jc w:val="left"/>
            </w:pPr>
            <w:r>
              <w:t xml:space="preserve">Cmd+K</w:t>
            </w:r>
          </w:p>
        </w:tc>
        <w:tc>
          <w:tcPr/>
          <w:p>
            <w:pPr>
              <w:pStyle w:val="Compact"/>
              <w:jc w:val="left"/>
            </w:pPr>
            <w:r>
              <w:t xml:space="preserve">Yes</w:t>
            </w:r>
            <w:r>
              <w:t xml:space="preserve"> </w:t>
            </w:r>
            <w:fldSimple w:instr="NOTEREF _Ref_Footnote_73 \h \f">
              <w:r>
                <w:rPr>
                  <w:vertAlign w:val="superscript"/>
                </w:rPr>
                <w:t>73</w:t>
              </w:r>
            </w:fldSimple>
          </w:p>
        </w:tc>
        <w:tc>
          <w:tcPr/>
          <w:p>
            <w:pPr>
              <w:pStyle w:val="Compact"/>
              <w:jc w:val="left"/>
            </w:pPr>
            <w:r>
              <w:t xml:space="preserve">Yes</w:t>
            </w:r>
          </w:p>
        </w:tc>
        <w:tc>
          <w:tcPr/>
          <w:p>
            <w:pPr>
              <w:pStyle w:val="Compact"/>
              <w:jc w:val="left"/>
            </w:pPr>
            <w:r>
              <w:t xml:space="preserve">Yes (breadcrumbs)</w:t>
            </w:r>
          </w:p>
        </w:tc>
        <w:tc>
          <w:tcPr/>
          <w:p>
            <w:pPr>
              <w:pStyle w:val="Compact"/>
              <w:jc w:val="left"/>
            </w:pPr>
            <w:r>
              <w:rPr>
                <w:rStyle w:val="VerbatimChar"/>
              </w:rPr>
              <w:t xml:space="preserve">g</w:t>
            </w:r>
            <w:r>
              <w:t xml:space="preserve"> </w:t>
            </w:r>
            <w:r>
              <w:t xml:space="preserve">+ letter</w:t>
            </w:r>
            <w:r>
              <w:t xml:space="preserve"> </w:t>
            </w:r>
            <w:fldSimple w:instr="NOTEREF _Ref_Footnote_73 \h \f">
              <w:r>
                <w:rPr>
                  <w:vertAlign w:val="superscript"/>
                </w:rPr>
                <w:t>73</w:t>
              </w:r>
            </w:fldSimple>
          </w:p>
        </w:tc>
        <w:tc>
          <w:tcPr/>
          <w:p>
            <w:pPr>
              <w:pStyle w:val="Compact"/>
              <w:jc w:val="left"/>
            </w:pPr>
            <w:r>
              <w:t xml:space="preserve">&lt;50 ms</w:t>
            </w:r>
          </w:p>
        </w:tc>
      </w:tr>
      <w:tr>
        <w:tc>
          <w:tcPr/>
          <w:p>
            <w:pPr>
              <w:pStyle w:val="Compact"/>
              <w:jc w:val="left"/>
            </w:pPr>
            <w:r>
              <w:t xml:space="preserve">Raycast</w:t>
            </w:r>
          </w:p>
        </w:tc>
        <w:tc>
          <w:tcPr/>
          <w:p>
            <w:pPr>
              <w:pStyle w:val="Compact"/>
              <w:jc w:val="left"/>
            </w:pPr>
            <w:r>
              <w:t xml:space="preserve">Option+Space</w:t>
            </w:r>
          </w:p>
        </w:tc>
        <w:tc>
          <w:tcPr/>
          <w:p>
            <w:pPr>
              <w:pStyle w:val="Compact"/>
              <w:jc w:val="left"/>
            </w:pPr>
            <w:r>
              <w:t xml:space="preserve">Yes</w:t>
            </w:r>
          </w:p>
        </w:tc>
        <w:tc>
          <w:tcPr/>
          <w:p>
            <w:pPr>
              <w:pStyle w:val="Compact"/>
              <w:jc w:val="left"/>
            </w:pPr>
            <w:r>
              <w:t xml:space="preserve">Yes (smart ranking)</w:t>
            </w:r>
          </w:p>
        </w:tc>
        <w:tc>
          <w:tcPr/>
          <w:p>
            <w:pPr>
              <w:pStyle w:val="Compact"/>
              <w:jc w:val="left"/>
            </w:pPr>
            <w:r>
              <w:t xml:space="preserve">Yes (action panel)</w:t>
            </w:r>
          </w:p>
        </w:tc>
        <w:tc>
          <w:tcPr/>
          <w:p>
            <w:pPr>
              <w:pStyle w:val="Compact"/>
              <w:jc w:val="left"/>
            </w:pPr>
            <w:r>
              <w:t xml:space="preserve">Arrow + Enter</w:t>
            </w:r>
            <w:r>
              <w:t xml:space="preserve"> </w:t>
            </w:r>
            <w:fldSimple w:instr="NOTEREF _Ref_Footnote_72 \h \f">
              <w:r>
                <w:rPr>
                  <w:vertAlign w:val="superscript"/>
                </w:rPr>
                <w:t>72</w:t>
              </w:r>
            </w:fldSimple>
          </w:p>
        </w:tc>
        <w:tc>
          <w:tcPr/>
          <w:p>
            <w:pPr>
              <w:pStyle w:val="Compact"/>
              <w:jc w:val="left"/>
            </w:pPr>
            <w:r>
              <w:t xml:space="preserve">&lt;50 ms</w:t>
            </w:r>
            <w:r>
              <w:t xml:space="preserve"> </w:t>
            </w:r>
            <w:fldSimple w:instr="NOTEREF _Ref_Footnote_72 \h \f">
              <w:r>
                <w:rPr>
                  <w:vertAlign w:val="superscript"/>
                </w:rPr>
                <w:t>72</w:t>
              </w:r>
            </w:fldSimple>
          </w:p>
        </w:tc>
      </w:tr>
      <w:tr>
        <w:tc>
          <w:tcPr/>
          <w:p>
            <w:pPr>
              <w:pStyle w:val="Compact"/>
              <w:jc w:val="left"/>
            </w:pPr>
            <w:r>
              <w:t xml:space="preserve">Vercel</w:t>
            </w:r>
          </w:p>
        </w:tc>
        <w:tc>
          <w:tcPr/>
          <w:p>
            <w:pPr>
              <w:pStyle w:val="Compact"/>
              <w:jc w:val="left"/>
            </w:pPr>
            <w:r>
              <w:t xml:space="preserve">Cmd+K</w:t>
            </w:r>
          </w:p>
        </w:tc>
        <w:tc>
          <w:tcPr/>
          <w:p>
            <w:pPr>
              <w:pStyle w:val="Compact"/>
              <w:jc w:val="left"/>
            </w:pPr>
            <w:r>
              <w:t xml:space="preserve">Yes</w:t>
            </w:r>
            <w:r>
              <w:t xml:space="preserve"> </w:t>
            </w:r>
            <w:fldSimple w:instr="NOTEREF _Ref_Footnote_15 \h \f">
              <w:r>
                <w:rPr>
                  <w:vertAlign w:val="superscript"/>
                </w:rPr>
                <w:t>15</w:t>
              </w:r>
            </w:fldSimple>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&lt;100 ms</w:t>
            </w:r>
          </w:p>
        </w:tc>
      </w:tr>
      <w:tr>
        <w:tc>
          <w:tcPr/>
          <w:p>
            <w:pPr>
              <w:pStyle w:val="Compact"/>
              <w:jc w:val="left"/>
            </w:pPr>
            <w:r>
              <w:t xml:space="preserve">GitHub</w:t>
            </w:r>
          </w:p>
        </w:tc>
        <w:tc>
          <w:tcPr/>
          <w:p>
            <w:pPr>
              <w:pStyle w:val="Compact"/>
              <w:jc w:val="left"/>
            </w:pPr>
            <w:r>
              <w:t xml:space="preserve">Cmd+K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(command mode)</w:t>
            </w:r>
          </w:p>
        </w:tc>
        <w:tc>
          <w:tcPr/>
          <w:p>
            <w:pPr>
              <w:pStyle w:val="Compact"/>
              <w:jc w:val="left"/>
            </w:pPr>
            <w:r>
              <w:rPr>
                <w:rStyle w:val="VerbatimChar"/>
              </w:rPr>
              <w:t xml:space="preserve">g</w:t>
            </w:r>
            <w:r>
              <w:t xml:space="preserve"> </w:t>
            </w:r>
            <w:r>
              <w:t xml:space="preserve">+ letter</w:t>
            </w:r>
          </w:p>
        </w:tc>
        <w:tc>
          <w:tcPr/>
          <w:p>
            <w:pPr>
              <w:pStyle w:val="Compact"/>
              <w:jc w:val="left"/>
            </w:pPr>
            <w:r>
              <w:t xml:space="preserve">&lt;100 ms</w:t>
            </w:r>
          </w:p>
        </w:tc>
      </w:tr>
      <w:tr>
        <w:tc>
          <w:tcPr/>
          <w:p>
            <w:pPr>
              <w:pStyle w:val="Compact"/>
              <w:jc w:val="left"/>
            </w:pPr>
            <w:r>
              <w:t xml:space="preserve">Notion</w:t>
            </w:r>
          </w:p>
        </w:tc>
        <w:tc>
          <w:tcPr/>
          <w:p>
            <w:pPr>
              <w:pStyle w:val="Compact"/>
              <w:jc w:val="left"/>
            </w:pPr>
            <w:r>
              <w:t xml:space="preserve">Cmd+/ (slash)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&lt;100 ms</w:t>
            </w:r>
          </w:p>
        </w:tc>
      </w:tr>
      <w:tr>
        <w:tc>
          <w:tcPr/>
          <w:p>
            <w:pPr>
              <w:pStyle w:val="Compact"/>
              <w:jc w:val="left"/>
            </w:pPr>
            <w:r>
              <w:rPr>
                <w:bCs/>
                <w:b/>
              </w:rPr>
              <w:t xml:space="preserve">CRP Comply</w:t>
            </w:r>
          </w:p>
        </w:tc>
        <w:tc>
          <w:tcPr/>
          <w:p>
            <w:pPr>
              <w:pStyle w:val="Compact"/>
              <w:jc w:val="left"/>
            </w:pPr>
            <w:r>
              <w:rPr>
                <w:bCs/>
                <w:b/>
              </w:rPr>
              <w:t xml:space="preserve">Cmd/Ctrl+K</w:t>
            </w:r>
          </w:p>
        </w:tc>
        <w:tc>
          <w:tcPr/>
          <w:p>
            <w:pPr>
              <w:pStyle w:val="Compact"/>
              <w:jc w:val="left"/>
            </w:pPr>
            <w:r>
              <w:rPr>
                <w:bCs/>
                <w:b/>
              </w:rPr>
              <w:t xml:space="preserve">Yes</w:t>
            </w:r>
          </w:p>
        </w:tc>
        <w:tc>
          <w:tcPr/>
          <w:p>
            <w:pPr>
              <w:pStyle w:val="Compact"/>
              <w:jc w:val="left"/>
            </w:pPr>
            <w:r>
              <w:rPr>
                <w:bCs/>
                <w:b/>
              </w:rPr>
              <w:t xml:space="preserve">Yes (localStorage)</w:t>
            </w:r>
          </w:p>
        </w:tc>
        <w:tc>
          <w:tcPr/>
          <w:p>
            <w:pPr>
              <w:pStyle w:val="Compact"/>
              <w:jc w:val="left"/>
            </w:pPr>
            <w:r>
              <w:rPr>
                <w:bCs/>
                <w:b/>
              </w:rPr>
              <w:t xml:space="preserve">Yes (recipe params)</w:t>
            </w:r>
          </w:p>
        </w:tc>
        <w:tc>
          <w:tcPr/>
          <w:p>
            <w:pPr>
              <w:pStyle w:val="Compact"/>
              <w:jc w:val="left"/>
            </w:pPr>
            <w:r>
              <w:rPr>
                <w:rStyle w:val="VerbatimChar"/>
                <w:bCs/>
                <w:b/>
              </w:rPr>
              <w:t xml:space="preserve">g</w:t>
            </w:r>
            <w:r>
              <w:rPr>
                <w:bCs/>
                <w:b/>
              </w:rPr>
              <w:t xml:space="preserve"> </w:t>
            </w:r>
            <w:r>
              <w:rPr>
                <w:bCs/>
                <w:b/>
              </w:rPr>
              <w:t xml:space="preserve">+ letter</w:t>
            </w:r>
          </w:p>
        </w:tc>
        <w:tc>
          <w:tcPr/>
          <w:p>
            <w:pPr>
              <w:pStyle w:val="Compact"/>
              <w:jc w:val="left"/>
            </w:pPr>
            <w:r>
              <w:rPr>
                <w:bCs/>
                <w:b/>
              </w:rPr>
              <w:t xml:space="preserve">&lt;50 ms</w:t>
            </w:r>
          </w:p>
        </w:tc>
      </w:tr>
    </w:tbl>
    <w:p>
      <w:pPr>
        <w:pStyle w:val="BodyText"/>
      </w:pPr>
      <w:r>
        <w:t xml:space="preserve">The comparison reveals a convergent set of expectations: fuzzy search, recent command surfacing, and sub-50ms response are no longer differentiators but baseline requirements. Linear’s VIM-style</w:t>
      </w:r>
      <w:r>
        <w:t xml:space="preserve"> </w:t>
      </w:r>
      <w:r>
        <w:rPr>
          <w:rStyle w:val="VerbatimChar"/>
        </w:rPr>
        <w:t xml:space="preserve">g</w:t>
      </w:r>
      <w:r>
        <w:t xml:space="preserve">-then-letter navigation and Raycast’s action panel (a secondary command palette triggered on any result) represent the frontier of power-user efficiency</w:t>
      </w:r>
      <w:r>
        <w:t xml:space="preserve"> </w:t>
      </w:r>
      <w:r>
        <w:rPr>
          <w:vertAlign w:val="superscript"/>
        </w:rPr>
        <w:footnoteReference w:id="74"/>
      </w:r>
      <w:r>
        <w:t xml:space="preserve">. CRP Comply should implement both:</w:t>
      </w:r>
      <w:r>
        <w:t xml:space="preserve"> </w:t>
      </w:r>
      <w:r>
        <w:rPr>
          <w:rStyle w:val="VerbatimChar"/>
        </w:rPr>
        <w:t xml:space="preserve">g</w:t>
      </w:r>
      <w:r>
        <w:t xml:space="preserve">-then-letter for page navigation (e.g.,</w:t>
      </w:r>
      <w:r>
        <w:t xml:space="preserve"> </w:t>
      </w:r>
      <w:r>
        <w:rPr>
          <w:rStyle w:val="VerbatimChar"/>
        </w:rPr>
        <w:t xml:space="preserve">g</w:t>
      </w:r>
      <w:r>
        <w:t xml:space="preserve"> </w:t>
      </w:r>
      <w:r>
        <w:t xml:space="preserve">+</w:t>
      </w:r>
      <w:r>
        <w:t xml:space="preserve"> </w:t>
      </w:r>
      <w:r>
        <w:rPr>
          <w:rStyle w:val="VerbatimChar"/>
        </w:rPr>
        <w:t xml:space="preserve">r</w:t>
      </w:r>
      <w:r>
        <w:t xml:space="preserve"> </w:t>
      </w:r>
      <w:r>
        <w:t xml:space="preserve">for Recipes,</w:t>
      </w:r>
      <w:r>
        <w:t xml:space="preserve"> </w:t>
      </w:r>
      <w:r>
        <w:rPr>
          <w:rStyle w:val="VerbatimChar"/>
        </w:rPr>
        <w:t xml:space="preserve">g</w:t>
      </w:r>
      <w:r>
        <w:t xml:space="preserve"> </w:t>
      </w:r>
      <w:r>
        <w:t xml:space="preserve">+</w:t>
      </w:r>
      <w:r>
        <w:t xml:space="preserve"> </w:t>
      </w:r>
      <w:r>
        <w:rPr>
          <w:rStyle w:val="VerbatimChar"/>
        </w:rPr>
        <w:t xml:space="preserve">v</w:t>
      </w:r>
      <w:r>
        <w:t xml:space="preserve"> </w:t>
      </w:r>
      <w:r>
        <w:t xml:space="preserve">for Vault) and sub-palettes for recipe parameter entry.</w:t>
      </w:r>
    </w:p>
    <w:bookmarkEnd w:id="43"/>
    <w:bookmarkStart w:id="47" w:name="keyboard-first-workflows"/>
    <w:p>
      <w:pPr>
        <w:pStyle w:val="Heading3"/>
      </w:pPr>
      <w:r>
        <w:t xml:space="preserve">3.2 Keyboard-First Workflows</w:t>
      </w:r>
    </w:p>
    <w:p>
      <w:pPr>
        <w:pStyle w:val="FirstParagraph"/>
      </w:pPr>
      <w:r>
        <w:t xml:space="preserve">The business case for command palettes and keyboard shortcuts rests on the quantified cost of context switching. A 2022 study by Harvard Business Review found that the average digital worker toggles between applications nearly 1{,}200 times per day, spending almost four hours per week reorienting – equal to roughly 9% of annual work time lost to context switching</w:t>
      </w:r>
      <w:r>
        <w:t xml:space="preserve"> </w:t>
      </w:r>
      <w:r>
        <w:rPr>
          <w:vertAlign w:val="superscript"/>
        </w:rPr>
        <w:footnoteReference w:id="75"/>
      </w:r>
      <w:r>
        <w:t xml:space="preserve">. It takes an average of 9.5 minutes to return to a productive workflow after each switch</w:t>
      </w:r>
      <w:r>
        <w:t xml:space="preserve"> </w:t>
      </w:r>
      <w:fldSimple w:instr="NOTEREF _Ref_Footnote_75 \h \f">
        <w:r>
          <w:rPr>
            <w:vertAlign w:val="superscript"/>
          </w:rPr>
          <w:t>75</w:t>
        </w:r>
      </w:fldSimple>
      <w:r>
        <w:t xml:space="preserve">. Psychologist Gerald Weinberg’s model quantifies the erosion more precisely: alternating between two tasks consumes 20% of productive time, while switching among three tasks loses 40%</w:t>
      </w:r>
      <w:r>
        <w:t xml:space="preserve"> </w:t>
      </w:r>
      <w:r>
        <w:rPr>
          <w:vertAlign w:val="superscript"/>
        </w:rPr>
        <w:footnoteReference w:id="76"/>
      </w:r>
      <w:r>
        <w:t xml:space="preserve">.</w:t>
      </w:r>
    </w:p>
    <w:p>
      <w:pPr>
        <w:pStyle w:val="CaptionedFigure"/>
      </w:pPr>
      <w:r>
        <w:drawing>
          <wp:inline>
            <wp:extent cx="5334000" cy="2879224"/>
            <wp:effectExtent b="0" l="0" r="0" t="0"/>
            <wp:docPr descr="Productive Time Eroded by Context Switching" title="" id="45" name="Picture"/>
            <a:graphic>
              <a:graphicData uri="http://schemas.openxmlformats.org/drawingml/2006/picture">
                <pic:pic>
                  <pic:nvPicPr>
                    <pic:cNvPr descr="fig_3_1_context_switching.png" id="46" name="Picture"/>
                    <pic:cNvPicPr>
                      <a:picLocks noChangeArrowheads="1" noChangeAspect="1"/>
                    </pic:cNvPicPr>
                  </pic:nvPicPr>
                  <pic:blipFill>
                    <a:blip r:embed="rId44"/>
                    <a:stretch>
                      <a:fillRect/>
                    </a:stretch>
                  </pic:blipFill>
                  <pic:spPr bwMode="auto">
                    <a:xfrm>
                      <a:off x="0" y="0"/>
                      <a:ext cx="5334000" cy="2879224"/>
                    </a:xfrm>
                    <a:prstGeom prst="rect">
                      <a:avLst/>
                    </a:prstGeom>
                    <a:noFill/>
                    <a:ln w="9525">
                      <a:noFill/>
                      <a:headEnd/>
                      <a:tailEnd/>
                    </a:ln>
                  </pic:spPr>
                </pic:pic>
              </a:graphicData>
            </a:graphic>
          </wp:inline>
        </w:drawing>
      </w:r>
    </w:p>
    <w:p>
      <w:pPr>
        <w:pStyle w:val="ImageCaption"/>
      </w:pPr>
      <w:r>
        <w:t xml:space="preserve">Productive Time Eroded by Context Switching</w:t>
      </w:r>
    </w:p>
    <w:p>
      <w:pPr>
        <w:pStyle w:val="BodyText"/>
      </w:pPr>
      <w:r>
        <w:t xml:space="preserve">Command palettes directly counter this attrition by keeping users inside the application. Rather than navigating away to find a function, the user invokes the palette, types, and acts – all without leaving their current context. Keyboard shortcuts extend this principle by eliminating even the palette invocation step for frequently used actions.</w:t>
      </w:r>
    </w:p>
    <w:p>
      <w:pPr>
        <w:pStyle w:val="BodyText"/>
      </w:pPr>
      <w:r>
        <w:t xml:space="preserve">The critical design challenge is</w:t>
      </w:r>
      <w:r>
        <w:t xml:space="preserve"> </w:t>
      </w:r>
      <w:r>
        <w:rPr>
          <w:iCs/>
          <w:i/>
        </w:rPr>
        <w:t xml:space="preserve">discoverability</w:t>
      </w:r>
      <w:r>
        <w:t xml:space="preserve">. Keyboard shortcuts must be visible inline, not buried in documentation. Raycast shows shortcuts (⌘1, ⌘2) directly in result rows</w:t>
      </w:r>
      <w:r>
        <w:t xml:space="preserve"> </w:t>
      </w:r>
      <w:fldSimple w:instr="NOTEREF _Ref_Footnote_72 \h \f">
        <w:r>
          <w:rPr>
            <w:vertAlign w:val="superscript"/>
          </w:rPr>
          <w:t>72</w:t>
        </w:r>
      </w:fldSimple>
      <w:r>
        <w:t xml:space="preserve">. Superhuman’s keyboard-first email client achieves</w:t>
      </w:r>
      <w:r>
        <w:t xml:space="preserve"> </w:t>
      </w:r>
      <w:r>
        <w:t xml:space="preserve">“</w:t>
      </w:r>
      <w:r>
        <w:t xml:space="preserve">inbox zero</w:t>
      </w:r>
      <w:r>
        <w:t xml:space="preserve">”</w:t>
      </w:r>
      <w:r>
        <w:t xml:space="preserve"> </w:t>
      </w:r>
      <w:r>
        <w:t xml:space="preserve">through single-keystroke actions:</w:t>
      </w:r>
      <w:r>
        <w:t xml:space="preserve"> </w:t>
      </w:r>
      <w:r>
        <w:rPr>
          <w:rStyle w:val="VerbatimChar"/>
        </w:rPr>
        <w:t xml:space="preserve">e</w:t>
      </w:r>
      <w:r>
        <w:t xml:space="preserve"> </w:t>
      </w:r>
      <w:r>
        <w:t xml:space="preserve">(archive),</w:t>
      </w:r>
      <w:r>
        <w:t xml:space="preserve"> </w:t>
      </w:r>
      <w:r>
        <w:rPr>
          <w:rStyle w:val="VerbatimChar"/>
        </w:rPr>
        <w:t xml:space="preserve">l</w:t>
      </w:r>
      <w:r>
        <w:t xml:space="preserve"> </w:t>
      </w:r>
      <w:r>
        <w:t xml:space="preserve">(label),</w:t>
      </w:r>
      <w:r>
        <w:t xml:space="preserve"> </w:t>
      </w:r>
      <w:r>
        <w:rPr>
          <w:rStyle w:val="VerbatimChar"/>
        </w:rPr>
        <w:t xml:space="preserve">h</w:t>
      </w:r>
      <w:r>
        <w:t xml:space="preserve"> </w:t>
      </w:r>
      <w:r>
        <w:t xml:space="preserve">(snooze),</w:t>
      </w:r>
      <w:r>
        <w:t xml:space="preserve"> </w:t>
      </w:r>
      <w:r>
        <w:rPr>
          <w:rStyle w:val="VerbatimChar"/>
        </w:rPr>
        <w:t xml:space="preserve">/</w:t>
      </w:r>
      <w:r>
        <w:t xml:space="preserve"> </w:t>
      </w:r>
      <w:r>
        <w:t xml:space="preserve">(search), and Command+K (command palette)</w:t>
      </w:r>
      <w:r>
        <w:t xml:space="preserve"> </w:t>
      </w:r>
      <w:r>
        <w:rPr>
          <w:vertAlign w:val="superscript"/>
        </w:rPr>
        <w:footnoteReference w:id="77"/>
      </w:r>
      <w:r>
        <w:t xml:space="preserve">. The CMDK email client demonstrates</w:t>
      </w:r>
      <w:r>
        <w:t xml:space="preserve"> </w:t>
      </w:r>
      <w:r>
        <w:t xml:space="preserve">“</w:t>
      </w:r>
      <w:r>
        <w:t xml:space="preserve">gentle cueing</w:t>
      </w:r>
      <w:r>
        <w:t xml:space="preserve">”</w:t>
      </w:r>
      <w:r>
        <w:t xml:space="preserve"> </w:t>
      </w:r>
      <w:r>
        <w:t xml:space="preserve">– when users click with the mouse, the interface displays the corresponding keyboard shortcut to encourage organic learning over time</w:t>
      </w:r>
      <w:r>
        <w:t xml:space="preserve"> </w:t>
      </w:r>
      <w:r>
        <w:rPr>
          <w:vertAlign w:val="superscript"/>
        </w:rPr>
        <w:footnoteReference w:id="78"/>
      </w:r>
      <w:r>
        <w:t xml:space="preserve">. This pattern of progressive shortcut discovery should be standard in every compliance application.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Shortcut</w:t>
            </w:r>
          </w:p>
        </w:tc>
        <w:tc>
          <w:tcPr/>
          <w:p>
            <w:pPr>
              <w:pStyle w:val="Compact"/>
              <w:jc w:val="left"/>
            </w:pPr>
            <w:r>
              <w:t xml:space="preserve">Action</w:t>
            </w:r>
          </w:p>
        </w:tc>
        <w:tc>
          <w:tcPr/>
          <w:p>
            <w:pPr>
              <w:pStyle w:val="Compact"/>
              <w:jc w:val="left"/>
            </w:pPr>
            <w:r>
              <w:t xml:space="preserve">Discoverability Mechanism</w:t>
            </w:r>
          </w:p>
        </w:tc>
      </w:tr>
      <w:tr>
        <w:tc>
          <w:tcPr/>
          <w:p>
            <w:pPr>
              <w:pStyle w:val="Compact"/>
              <w:jc w:val="left"/>
            </w:pPr>
            <w:r>
              <w:t xml:space="preserve">Global</w:t>
            </w:r>
          </w:p>
        </w:tc>
        <w:tc>
          <w:tcPr/>
          <w:p>
            <w:pPr>
              <w:pStyle w:val="Compact"/>
              <w:jc w:val="left"/>
            </w:pPr>
            <w:r>
              <w:rPr>
                <w:rStyle w:val="VerbatimChar"/>
              </w:rPr>
              <w:t xml:space="preserve">Cmd/Ctrl+K</w:t>
            </w:r>
          </w:p>
        </w:tc>
        <w:tc>
          <w:tcPr/>
          <w:p>
            <w:pPr>
              <w:pStyle w:val="Compact"/>
              <w:jc w:val="left"/>
            </w:pPr>
            <w:r>
              <w:t xml:space="preserve">Open command palette</w:t>
            </w:r>
          </w:p>
        </w:tc>
        <w:tc>
          <w:tcPr/>
          <w:p>
            <w:pPr>
              <w:pStyle w:val="Compact"/>
              <w:jc w:val="left"/>
            </w:pPr>
            <w:r>
              <w:t xml:space="preserve">Always visible in empty state</w:t>
            </w:r>
          </w:p>
        </w:tc>
      </w:tr>
      <w:tr>
        <w:tc>
          <w:tcPr/>
          <w:p>
            <w:pPr>
              <w:pStyle w:val="Compact"/>
              <w:jc w:val="left"/>
            </w:pPr>
            <w:r>
              <w:t xml:space="preserve">Global</w:t>
            </w:r>
          </w:p>
        </w:tc>
        <w:tc>
          <w:tcPr/>
          <w:p>
            <w:pPr>
              <w:pStyle w:val="Compact"/>
              <w:jc w:val="left"/>
            </w:pPr>
            <w:r>
              <w:rPr>
                <w:rStyle w:val="VerbatimChar"/>
              </w:rPr>
              <w:t xml:space="preserve">?</w:t>
            </w:r>
          </w:p>
        </w:tc>
        <w:tc>
          <w:tcPr/>
          <w:p>
            <w:pPr>
              <w:pStyle w:val="Compact"/>
              <w:jc w:val="left"/>
            </w:pPr>
            <w:r>
              <w:t xml:space="preserve">Open shortcut cheat sheet</w:t>
            </w:r>
          </w:p>
        </w:tc>
        <w:tc>
          <w:tcPr/>
          <w:p>
            <w:pPr>
              <w:pStyle w:val="Compact"/>
              <w:jc w:val="left"/>
            </w:pPr>
            <w:r>
              <w:t xml:space="preserve">First-use tooltip</w:t>
            </w:r>
          </w:p>
        </w:tc>
      </w:tr>
      <w:tr>
        <w:tc>
          <w:tcPr/>
          <w:p>
            <w:pPr>
              <w:pStyle w:val="Compact"/>
              <w:jc w:val="left"/>
            </w:pPr>
            <w:r>
              <w:t xml:space="preserve">Navigation</w:t>
            </w:r>
          </w:p>
        </w:tc>
        <w:tc>
          <w:tcPr/>
          <w:p>
            <w:pPr>
              <w:pStyle w:val="Compact"/>
              <w:jc w:val="left"/>
            </w:pPr>
            <w:r>
              <w:rPr>
                <w:rStyle w:val="VerbatimChar"/>
              </w:rPr>
              <w:t xml:space="preserve">g</w:t>
            </w:r>
            <w:r>
              <w:t xml:space="preserve"> </w:t>
            </w:r>
            <w:r>
              <w:t xml:space="preserve">+</w:t>
            </w:r>
            <w:r>
              <w:t xml:space="preserve"> </w:t>
            </w:r>
            <w:r>
              <w:rPr>
                <w:rStyle w:val="VerbatimChar"/>
              </w:rPr>
              <w:t xml:space="preserve">r</w:t>
            </w:r>
          </w:p>
        </w:tc>
        <w:tc>
          <w:tcPr/>
          <w:p>
            <w:pPr>
              <w:pStyle w:val="Compact"/>
              <w:jc w:val="left"/>
            </w:pPr>
            <w:r>
              <w:t xml:space="preserve">Go to Recipes</w:t>
            </w:r>
          </w:p>
        </w:tc>
        <w:tc>
          <w:tcPr/>
          <w:p>
            <w:pPr>
              <w:pStyle w:val="Compact"/>
              <w:jc w:val="left"/>
            </w:pPr>
            <w:r>
              <w:t xml:space="preserve">Gentle cue on sidebar hover</w:t>
            </w:r>
            <w:r>
              <w:t xml:space="preserve"> </w:t>
            </w:r>
            <w:fldSimple w:instr="NOTEREF _Ref_Footnote_78 \h \f">
              <w:r>
                <w:rPr>
                  <w:vertAlign w:val="superscript"/>
                </w:rPr>
                <w:t>78</w:t>
              </w:r>
            </w:fldSimple>
          </w:p>
        </w:tc>
      </w:tr>
      <w:tr>
        <w:tc>
          <w:tcPr/>
          <w:p>
            <w:pPr>
              <w:pStyle w:val="Compact"/>
              <w:jc w:val="left"/>
            </w:pPr>
            <w:r>
              <w:t xml:space="preserve">Navigation</w:t>
            </w:r>
          </w:p>
        </w:tc>
        <w:tc>
          <w:tcPr/>
          <w:p>
            <w:pPr>
              <w:pStyle w:val="Compact"/>
              <w:jc w:val="left"/>
            </w:pPr>
            <w:r>
              <w:rPr>
                <w:rStyle w:val="VerbatimChar"/>
              </w:rPr>
              <w:t xml:space="preserve">g</w:t>
            </w:r>
            <w:r>
              <w:t xml:space="preserve"> </w:t>
            </w:r>
            <w:r>
              <w:t xml:space="preserve">+</w:t>
            </w:r>
            <w:r>
              <w:t xml:space="preserve"> </w:t>
            </w:r>
            <w:r>
              <w:rPr>
                <w:rStyle w:val="VerbatimChar"/>
              </w:rPr>
              <w:t xml:space="preserve">v</w:t>
            </w:r>
          </w:p>
        </w:tc>
        <w:tc>
          <w:tcPr/>
          <w:p>
            <w:pPr>
              <w:pStyle w:val="Compact"/>
              <w:jc w:val="left"/>
            </w:pPr>
            <w:r>
              <w:t xml:space="preserve">Go to Vault</w:t>
            </w:r>
          </w:p>
        </w:tc>
        <w:tc>
          <w:tcPr/>
          <w:p>
            <w:pPr>
              <w:pStyle w:val="Compact"/>
              <w:jc w:val="left"/>
            </w:pPr>
            <w:r>
              <w:t xml:space="preserve">Gentle cue on sidebar hover</w:t>
            </w:r>
          </w:p>
        </w:tc>
      </w:tr>
      <w:tr>
        <w:tc>
          <w:tcPr/>
          <w:p>
            <w:pPr>
              <w:pStyle w:val="Compact"/>
              <w:jc w:val="left"/>
            </w:pPr>
            <w:r>
              <w:t xml:space="preserve">Navigation</w:t>
            </w:r>
          </w:p>
        </w:tc>
        <w:tc>
          <w:tcPr/>
          <w:p>
            <w:pPr>
              <w:pStyle w:val="Compact"/>
              <w:jc w:val="left"/>
            </w:pPr>
            <w:r>
              <w:rPr>
                <w:rStyle w:val="VerbatimChar"/>
              </w:rPr>
              <w:t xml:space="preserve">g</w:t>
            </w:r>
            <w:r>
              <w:t xml:space="preserve"> </w:t>
            </w:r>
            <w:r>
              <w:t xml:space="preserve">+</w:t>
            </w:r>
            <w:r>
              <w:t xml:space="preserve"> </w:t>
            </w:r>
            <w:r>
              <w:rPr>
                <w:rStyle w:val="VerbatimChar"/>
              </w:rPr>
              <w:t xml:space="preserve">a</w:t>
            </w:r>
          </w:p>
        </w:tc>
        <w:tc>
          <w:tcPr/>
          <w:p>
            <w:pPr>
              <w:pStyle w:val="Compact"/>
              <w:jc w:val="left"/>
            </w:pPr>
            <w:r>
              <w:t xml:space="preserve">Go to Assistant</w:t>
            </w:r>
          </w:p>
        </w:tc>
        <w:tc>
          <w:tcPr/>
          <w:p>
            <w:pPr>
              <w:pStyle w:val="Compact"/>
              <w:jc w:val="left"/>
            </w:pPr>
            <w:r>
              <w:t xml:space="preserve">Gentle cue on sidebar hover</w:t>
            </w:r>
          </w:p>
        </w:tc>
      </w:tr>
      <w:tr>
        <w:tc>
          <w:tcPr/>
          <w:p>
            <w:pPr>
              <w:pStyle w:val="Compact"/>
              <w:jc w:val="left"/>
            </w:pPr>
            <w:r>
              <w:t xml:space="preserve">Navigation</w:t>
            </w:r>
          </w:p>
        </w:tc>
        <w:tc>
          <w:tcPr/>
          <w:p>
            <w:pPr>
              <w:pStyle w:val="Compact"/>
              <w:jc w:val="left"/>
            </w:pPr>
            <w:r>
              <w:rPr>
                <w:rStyle w:val="VerbatimChar"/>
              </w:rPr>
              <w:t xml:space="preserve">g</w:t>
            </w:r>
            <w:r>
              <w:t xml:space="preserve"> </w:t>
            </w:r>
            <w:r>
              <w:t xml:space="preserve">+</w:t>
            </w:r>
            <w:r>
              <w:t xml:space="preserve"> </w:t>
            </w:r>
            <w:r>
              <w:rPr>
                <w:rStyle w:val="VerbatimChar"/>
              </w:rPr>
              <w:t xml:space="preserve">d</w:t>
            </w:r>
          </w:p>
        </w:tc>
        <w:tc>
          <w:tcPr/>
          <w:p>
            <w:pPr>
              <w:pStyle w:val="Compact"/>
              <w:jc w:val="left"/>
            </w:pPr>
            <w:r>
              <w:t xml:space="preserve">Go to Dashboard</w:t>
            </w:r>
          </w:p>
        </w:tc>
        <w:tc>
          <w:tcPr/>
          <w:p>
            <w:pPr>
              <w:pStyle w:val="Compact"/>
              <w:jc w:val="left"/>
            </w:pPr>
            <w:r>
              <w:t xml:space="preserve">Gentle cue on sidebar hover</w:t>
            </w:r>
          </w:p>
        </w:tc>
      </w:tr>
      <w:tr>
        <w:tc>
          <w:tcPr/>
          <w:p>
            <w:pPr>
              <w:pStyle w:val="Compact"/>
              <w:jc w:val="left"/>
            </w:pPr>
            <w:r>
              <w:t xml:space="preserve">Action</w:t>
            </w:r>
          </w:p>
        </w:tc>
        <w:tc>
          <w:tcPr/>
          <w:p>
            <w:pPr>
              <w:pStyle w:val="Compact"/>
              <w:jc w:val="left"/>
            </w:pPr>
            <w:r>
              <w:rPr>
                <w:rStyle w:val="VerbatimChar"/>
              </w:rPr>
              <w:t xml:space="preserve">c</w:t>
            </w:r>
            <w:r>
              <w:t xml:space="preserve"> </w:t>
            </w:r>
            <w:r>
              <w:t xml:space="preserve">+</w:t>
            </w:r>
            <w:r>
              <w:t xml:space="preserve"> </w:t>
            </w:r>
            <w:r>
              <w:rPr>
                <w:rStyle w:val="VerbatimChar"/>
              </w:rPr>
              <w:t xml:space="preserve">c</w:t>
            </w:r>
          </w:p>
        </w:tc>
        <w:tc>
          <w:tcPr/>
          <w:p>
            <w:pPr>
              <w:pStyle w:val="Compact"/>
              <w:jc w:val="left"/>
            </w:pPr>
            <w:r>
              <w:t xml:space="preserve">Create classification</w:t>
            </w:r>
          </w:p>
        </w:tc>
        <w:tc>
          <w:tcPr/>
          <w:p>
            <w:pPr>
              <w:pStyle w:val="Compact"/>
              <w:jc w:val="left"/>
            </w:pPr>
            <w:r>
              <w:t xml:space="preserve">Inline shortcut label in palette</w:t>
            </w:r>
            <w:r>
              <w:t xml:space="preserve"> </w:t>
            </w:r>
            <w:fldSimple w:instr="NOTEREF _Ref_Footnote_72 \h \f">
              <w:r>
                <w:rPr>
                  <w:vertAlign w:val="superscript"/>
                </w:rPr>
                <w:t>72</w:t>
              </w:r>
            </w:fldSimple>
          </w:p>
        </w:tc>
      </w:tr>
      <w:tr>
        <w:tc>
          <w:tcPr/>
          <w:p>
            <w:pPr>
              <w:pStyle w:val="Compact"/>
              <w:jc w:val="left"/>
            </w:pPr>
            <w:r>
              <w:t xml:space="preserve">Action</w:t>
            </w:r>
          </w:p>
        </w:tc>
        <w:tc>
          <w:tcPr/>
          <w:p>
            <w:pPr>
              <w:pStyle w:val="Compact"/>
              <w:jc w:val="left"/>
            </w:pPr>
            <w:r>
              <w:rPr>
                <w:rStyle w:val="VerbatimChar"/>
              </w:rPr>
              <w:t xml:space="preserve">c</w:t>
            </w:r>
            <w:r>
              <w:t xml:space="preserve"> </w:t>
            </w:r>
            <w:r>
              <w:t xml:space="preserve">+</w:t>
            </w:r>
            <w:r>
              <w:t xml:space="preserve"> </w:t>
            </w:r>
            <w:r>
              <w:rPr>
                <w:rStyle w:val="VerbatimChar"/>
              </w:rPr>
              <w:t xml:space="preserve">d</w:t>
            </w:r>
          </w:p>
        </w:tc>
        <w:tc>
          <w:tcPr/>
          <w:p>
            <w:pPr>
              <w:pStyle w:val="Compact"/>
              <w:jc w:val="left"/>
            </w:pPr>
            <w:r>
              <w:t xml:space="preserve">Create draft</w:t>
            </w:r>
          </w:p>
        </w:tc>
        <w:tc>
          <w:tcPr/>
          <w:p>
            <w:pPr>
              <w:pStyle w:val="Compact"/>
              <w:jc w:val="left"/>
            </w:pPr>
            <w:r>
              <w:t xml:space="preserve">Inline shortcut label in palette</w:t>
            </w:r>
          </w:p>
        </w:tc>
      </w:tr>
      <w:tr>
        <w:tc>
          <w:tcPr/>
          <w:p>
            <w:pPr>
              <w:pStyle w:val="Compact"/>
              <w:jc w:val="left"/>
            </w:pPr>
            <w:r>
              <w:t xml:space="preserve">Action</w:t>
            </w:r>
          </w:p>
        </w:tc>
        <w:tc>
          <w:tcPr/>
          <w:p>
            <w:pPr>
              <w:pStyle w:val="Compact"/>
              <w:jc w:val="left"/>
            </w:pPr>
            <w:r>
              <w:rPr>
                <w:rStyle w:val="VerbatimChar"/>
              </w:rPr>
              <w:t xml:space="preserve">s</w:t>
            </w:r>
            <w:r>
              <w:t xml:space="preserve"> </w:t>
            </w:r>
            <w:r>
              <w:t xml:space="preserve">+</w:t>
            </w:r>
            <w:r>
              <w:t xml:space="preserve"> </w:t>
            </w:r>
            <w:r>
              <w:rPr>
                <w:rStyle w:val="VerbatimChar"/>
              </w:rPr>
              <w:t xml:space="preserve">s</w:t>
            </w:r>
          </w:p>
        </w:tc>
        <w:tc>
          <w:tcPr/>
          <w:p>
            <w:pPr>
              <w:pStyle w:val="Compact"/>
              <w:jc w:val="left"/>
            </w:pPr>
            <w:r>
              <w:t xml:space="preserve">Open settings</w:t>
            </w:r>
          </w:p>
        </w:tc>
        <w:tc>
          <w:tcPr/>
          <w:p>
            <w:pPr>
              <w:pStyle w:val="Compact"/>
              <w:jc w:val="left"/>
            </w:pPr>
            <w:r>
              <w:t xml:space="preserve">Inline shortcut label in palette</w:t>
            </w:r>
          </w:p>
        </w:tc>
      </w:tr>
      <w:tr>
        <w:tc>
          <w:tcPr/>
          <w:p>
            <w:pPr>
              <w:pStyle w:val="Compact"/>
              <w:jc w:val="left"/>
            </w:pPr>
            <w:r>
              <w:t xml:space="preserve">Action</w:t>
            </w:r>
          </w:p>
        </w:tc>
        <w:tc>
          <w:tcPr/>
          <w:p>
            <w:pPr>
              <w:pStyle w:val="Compact"/>
              <w:jc w:val="left"/>
            </w:pPr>
            <w:r>
              <w:rPr>
                <w:rStyle w:val="VerbatimChar"/>
              </w:rPr>
              <w:t xml:space="preserve">Esc</w:t>
            </w:r>
          </w:p>
        </w:tc>
        <w:tc>
          <w:tcPr/>
          <w:p>
            <w:pPr>
              <w:pStyle w:val="Compact"/>
              <w:jc w:val="left"/>
            </w:pPr>
            <w:r>
              <w:t xml:space="preserve">Close any modal/palette</w:t>
            </w:r>
          </w:p>
        </w:tc>
        <w:tc>
          <w:tcPr/>
          <w:p>
            <w:pPr>
              <w:pStyle w:val="Compact"/>
              <w:jc w:val="left"/>
            </w:pPr>
            <w:r>
              <w:t xml:space="preserve">Universal convention</w:t>
            </w:r>
          </w:p>
        </w:tc>
      </w:tr>
    </w:tbl>
    <w:p>
      <w:pPr>
        <w:pStyle w:val="BodyText"/>
      </w:pPr>
      <w:r>
        <w:t xml:space="preserve">The shortcut architecture follows two established conventions. The</w:t>
      </w:r>
      <w:r>
        <w:t xml:space="preserve"> </w:t>
      </w:r>
      <w:r>
        <w:rPr>
          <w:rStyle w:val="VerbatimChar"/>
        </w:rPr>
        <w:t xml:space="preserve">g</w:t>
      </w:r>
      <w:r>
        <w:t xml:space="preserve">-then-letter pattern, adopted from Linear’s VIM-style navigation</w:t>
      </w:r>
      <w:r>
        <w:t xml:space="preserve"> </w:t>
      </w:r>
      <w:fldSimple w:instr="NOTEREF _Ref_Footnote_73 \h \f">
        <w:r>
          <w:rPr>
            <w:vertAlign w:val="superscript"/>
          </w:rPr>
          <w:t>73</w:t>
        </w:r>
      </w:fldSimple>
      <w:r>
        <w:t xml:space="preserve">, groups all page navigation under a single prefix – users need only remember that</w:t>
      </w:r>
      <w:r>
        <w:t xml:space="preserve"> </w:t>
      </w:r>
      <w:r>
        <w:rPr>
          <w:rStyle w:val="VerbatimChar"/>
        </w:rPr>
        <w:t xml:space="preserve">g</w:t>
      </w:r>
      <w:r>
        <w:t xml:space="preserve"> </w:t>
      </w:r>
      <w:r>
        <w:t xml:space="preserve">means</w:t>
      </w:r>
      <w:r>
        <w:t xml:space="preserve"> </w:t>
      </w:r>
      <w:r>
        <w:t xml:space="preserve">“</w:t>
      </w:r>
      <w:r>
        <w:t xml:space="preserve">go.</w:t>
      </w:r>
      <w:r>
        <w:t xml:space="preserve">”</w:t>
      </w:r>
      <w:r>
        <w:t xml:space="preserve"> </w:t>
      </w:r>
      <w:r>
        <w:t xml:space="preserve">Action shortcuts use</w:t>
      </w:r>
      <w:r>
        <w:t xml:space="preserve"> </w:t>
      </w:r>
      <w:r>
        <w:rPr>
          <w:rStyle w:val="VerbatimChar"/>
        </w:rPr>
        <w:t xml:space="preserve">c</w:t>
      </w:r>
      <w:r>
        <w:t xml:space="preserve">-then-letter (</w:t>
      </w:r>
      <w:r>
        <w:t xml:space="preserve">“</w:t>
      </w:r>
      <w:r>
        <w:t xml:space="preserve">create</w:t>
      </w:r>
      <w:r>
        <w:t xml:space="preserve">”</w:t>
      </w:r>
      <w:r>
        <w:t xml:space="preserve">) as a prefix, creating a mnemonic system that scales without collision. The</w:t>
      </w:r>
      <w:r>
        <w:t xml:space="preserve"> </w:t>
      </w:r>
      <w:r>
        <w:rPr>
          <w:rStyle w:val="VerbatimChar"/>
        </w:rPr>
        <w:t xml:space="preserve">?</w:t>
      </w:r>
      <w:r>
        <w:t xml:space="preserve"> </w:t>
      </w:r>
      <w:r>
        <w:t xml:space="preserve">shortcut for the cheat sheet modal is a convention borrowed from GitHub and Gmail that power users expect to find. Every shortcut should display its key combination inline next to the corresponding UI element, and gentle cueing should reveal the shortcut whenever a mouse user performs the equivalent action</w:t>
      </w:r>
      <w:r>
        <w:t xml:space="preserve"> </w:t>
      </w:r>
      <w:fldSimple w:instr="NOTEREF _Ref_Footnote_78 \h \f">
        <w:r>
          <w:rPr>
            <w:vertAlign w:val="superscript"/>
          </w:rPr>
          <w:t>78</w:t>
        </w:r>
      </w:fldSimple>
      <w:r>
        <w:t xml:space="preserve">.</w:t>
      </w:r>
    </w:p>
    <w:bookmarkEnd w:id="47"/>
    <w:bookmarkStart w:id="48" w:name="global-search-instant-navigation"/>
    <w:p>
      <w:pPr>
        <w:pStyle w:val="Heading3"/>
      </w:pPr>
      <w:r>
        <w:t xml:space="preserve">3.3 Global Search &amp; Instant Navigation</w:t>
      </w:r>
    </w:p>
    <w:p>
      <w:pPr>
        <w:pStyle w:val="FirstParagraph"/>
      </w:pPr>
      <w:r>
        <w:t xml:space="preserve">Command palettes depend on search engines that deliver sub-50ms response times. Meilisearch, the leading open-source search engine, explicitly benchmarks at</w:t>
      </w:r>
      <w:r>
        <w:t xml:space="preserve"> </w:t>
      </w:r>
      <w:r>
        <w:t xml:space="preserve">“</w:t>
      </w:r>
      <w:r>
        <w:t xml:space="preserve">less than 50 milliseconds – faster than the blink of an eye</w:t>
      </w:r>
      <w:r>
        <w:t xml:space="preserve">”</w:t>
      </w:r>
      <w:r>
        <w:t xml:space="preserve"> </w:t>
      </w:r>
      <w:r>
        <w:rPr>
          <w:vertAlign w:val="superscript"/>
        </w:rPr>
        <w:footnoteReference w:id="79"/>
      </w:r>
      <w:r>
        <w:t xml:space="preserve">, with typo tolerance, hybrid search, and zero-configuration deployment</w:t>
      </w:r>
      <w:r>
        <w:t xml:space="preserve"> </w:t>
      </w:r>
      <w:r>
        <w:rPr>
          <w:vertAlign w:val="superscript"/>
        </w:rPr>
        <w:footnoteReference w:id="80"/>
      </w:r>
      <w:r>
        <w:t xml:space="preserve">. Algolia provides a comparable commercial offering with distributed architecture and real-time indexing updates</w:t>
      </w:r>
      <w:r>
        <w:t xml:space="preserve"> </w:t>
      </w:r>
      <w:r>
        <w:rPr>
          <w:vertAlign w:val="superscript"/>
        </w:rPr>
        <w:footnoteReference w:id="81"/>
      </w:r>
      <w:r>
        <w:t xml:space="preserve">, and its DocSearch product offers free hosting for public technical documentation</w:t>
      </w:r>
      <w:r>
        <w:t xml:space="preserve"> </w:t>
      </w:r>
      <w:r>
        <w:rPr>
          <w:vertAlign w:val="superscript"/>
        </w:rPr>
        <w:footnoteReference w:id="82"/>
      </w:r>
      <w:r>
        <w:t xml:space="preserve">.</w:t>
      </w:r>
    </w:p>
    <w:p>
      <w:pPr>
        <w:pStyle w:val="BodyText"/>
      </w:pPr>
      <w:r>
        <w:t xml:space="preserve">The mathematical foundation of typo-tolerant search lies in edit-distance algorithms. The Damerau-Levenshtein distance variant is most effective for command palettes because it accounts for adjacent character transposition (</w:t>
      </w:r>
      <w:r>
        <w:t xml:space="preserve">“</w:t>
      </w:r>
      <w:r>
        <w:t xml:space="preserve">teh</w:t>
      </w:r>
      <w:r>
        <w:t xml:space="preserve">”</w:t>
      </w:r>
      <w:r>
        <w:t xml:space="preserve"> </w:t>
      </w:r>
      <w:r>
        <w:t xml:space="preserve">matching</w:t>
      </w:r>
      <w:r>
        <w:t xml:space="preserve"> </w:t>
      </w:r>
      <w:r>
        <w:t xml:space="preserve">“</w:t>
      </w:r>
      <w:r>
        <w:t xml:space="preserve">the</w:t>
      </w:r>
      <w:r>
        <w:t xml:space="preserve">”</w:t>
      </w:r>
      <w:r>
        <w:t xml:space="preserve">)</w:t>
      </w:r>
      <w:r>
        <w:t xml:space="preserve"> </w:t>
      </w:r>
      <w:r>
        <w:rPr>
          <w:vertAlign w:val="superscript"/>
        </w:rPr>
        <w:footnoteReference w:id="83"/>
      </w:r>
      <w:r>
        <w:t xml:space="preserve">. When a compliance officer types</w:t>
      </w:r>
      <w:r>
        <w:t xml:space="preserve"> </w:t>
      </w:r>
      <w:r>
        <w:t xml:space="preserve">“</w:t>
      </w:r>
      <w:r>
        <w:t xml:space="preserve">SOC2</w:t>
      </w:r>
      <w:r>
        <w:t xml:space="preserve">”</w:t>
      </w:r>
      <w:r>
        <w:t xml:space="preserve"> </w:t>
      </w:r>
      <w:r>
        <w:t xml:space="preserve">or</w:t>
      </w:r>
      <w:r>
        <w:t xml:space="preserve"> </w:t>
      </w:r>
      <w:r>
        <w:t xml:space="preserve">“</w:t>
      </w:r>
      <w:r>
        <w:t xml:space="preserve">ISO27</w:t>
      </w:r>
      <w:r>
        <w:t xml:space="preserve">”</w:t>
      </w:r>
      <w:r>
        <w:t xml:space="preserve"> </w:t>
      </w:r>
      <w:r>
        <w:t xml:space="preserve">in the command palette, the fuzzy engine should match</w:t>
      </w:r>
      <w:r>
        <w:t xml:space="preserve"> </w:t>
      </w:r>
      <w:r>
        <w:t xml:space="preserve">“</w:t>
      </w:r>
      <w:r>
        <w:t xml:space="preserve">SOC 2</w:t>
      </w:r>
      <w:r>
        <w:t xml:space="preserve">”</w:t>
      </w:r>
      <w:r>
        <w:t xml:space="preserve"> </w:t>
      </w:r>
      <w:r>
        <w:t xml:space="preserve">and</w:t>
      </w:r>
      <w:r>
        <w:t xml:space="preserve"> </w:t>
      </w:r>
      <w:r>
        <w:t xml:space="preserve">“</w:t>
      </w:r>
      <w:r>
        <w:t xml:space="preserve">ISO 27001</w:t>
      </w:r>
      <w:r>
        <w:t xml:space="preserve">”</w:t>
      </w:r>
      <w:r>
        <w:t xml:space="preserve"> </w:t>
      </w:r>
      <w:r>
        <w:t xml:space="preserve">respectively without requiring exact input.</w:t>
      </w:r>
    </w:p>
    <w:p>
      <w:pPr>
        <w:pStyle w:val="BodyText"/>
      </w:pPr>
      <w:r>
        <w:t xml:space="preserve">Smart ranking transforms search from a static lookup into a predictive system. Raycast uses a composite score combining recency, frequency, and relevance to predict which items a user wants when they open the launcher, often making typing unnecessary</w:t>
      </w:r>
      <w:r>
        <w:t xml:space="preserve"> </w:t>
      </w:r>
      <w:r>
        <w:rPr>
          <w:vertAlign w:val="superscript"/>
        </w:rPr>
        <w:footnoteReference w:id="84"/>
      </w:r>
      <w:r>
        <w:t xml:space="preserve">. Windows Quick Access combines pinned items (static user-controlled favourites) with dynamic recent items, giving users both control and automation</w:t>
      </w:r>
      <w:r>
        <w:t xml:space="preserve"> </w:t>
      </w:r>
      <w:r>
        <w:rPr>
          <w:vertAlign w:val="superscript"/>
        </w:rPr>
        <w:footnoteReference w:id="85"/>
      </w:r>
      <w:r>
        <w:t xml:space="preserve">. CRP Comply should apply this three-factor ranking model to its global search: recently used recipes, frequently accessed vault documents, and pinned framework controls all surface according to a weighted score. Recent searches within the command palette should persist, allowing users to repeat complex queries instantly. Frequent CLI commands (</w:t>
      </w:r>
      <w:r>
        <w:rPr>
          <w:rStyle w:val="VerbatimChar"/>
        </w:rPr>
        <w:t xml:space="preserve">crp comply classify</w:t>
      </w:r>
      <w:r>
        <w:t xml:space="preserve">,</w:t>
      </w:r>
      <w:r>
        <w:t xml:space="preserve"> </w:t>
      </w:r>
      <w:r>
        <w:rPr>
          <w:rStyle w:val="VerbatimChar"/>
        </w:rPr>
        <w:t xml:space="preserve">crp comply draft</w:t>
      </w:r>
      <w:r>
        <w:t xml:space="preserve">) should auto-suggest in the web palette, reinforcing the CLI-to-web bridge.</w:t>
      </w:r>
    </w:p>
    <w:bookmarkEnd w:id="48"/>
    <w:bookmarkStart w:id="49" w:name="cli-to-web-bridge"/>
    <w:p>
      <w:pPr>
        <w:pStyle w:val="Heading3"/>
      </w:pPr>
      <w:r>
        <w:t xml:space="preserve">3.4 CLI-to-Web Bridge</w:t>
      </w:r>
    </w:p>
    <w:p>
      <w:pPr>
        <w:pStyle w:val="FirstParagraph"/>
      </w:pPr>
      <w:r>
        <w:t xml:space="preserve">CRP Comply’s CLI tool (</w:t>
      </w:r>
      <w:r>
        <w:rPr>
          <w:rStyle w:val="VerbatimChar"/>
        </w:rPr>
        <w:t xml:space="preserve">crp comply classify</w:t>
      </w:r>
      <w:r>
        <w:t xml:space="preserve">,</w:t>
      </w:r>
      <w:r>
        <w:t xml:space="preserve"> </w:t>
      </w:r>
      <w:r>
        <w:rPr>
          <w:rStyle w:val="VerbatimChar"/>
        </w:rPr>
        <w:t xml:space="preserve">crp comply draft</w:t>
      </w:r>
      <w:r>
        <w:t xml:space="preserve">) represents a user experience advantage no competitor matches: no rival in the compliance automation space delivers a first-class command-line interface paired with a polished web UI. For compliance professionals with engineering backgrounds – an increasingly common profile in DevOps and platform engineering – this hybrid creates a</w:t>
      </w:r>
      <w:r>
        <w:t xml:space="preserve"> </w:t>
      </w:r>
      <w:r>
        <w:t xml:space="preserve">“</w:t>
      </w:r>
      <w:r>
        <w:t xml:space="preserve">terminal with a GUI</w:t>
      </w:r>
      <w:r>
        <w:t xml:space="preserve">”</w:t>
      </w:r>
      <w:r>
        <w:t xml:space="preserve"> </w:t>
      </w:r>
      <w:r>
        <w:t xml:space="preserve">workflow.</w:t>
      </w:r>
    </w:p>
    <w:p>
      <w:pPr>
        <w:pStyle w:val="BodyText"/>
      </w:pPr>
      <w:r>
        <w:t xml:space="preserve">The bridge operates across three mechanisms. First, the command palette accepts CLI syntax: typing</w:t>
      </w:r>
      <w:r>
        <w:t xml:space="preserve"> </w:t>
      </w:r>
      <w:r>
        <w:rPr>
          <w:rStyle w:val="VerbatimChar"/>
        </w:rPr>
        <w:t xml:space="preserve">classify</w:t>
      </w:r>
      <w:r>
        <w:t xml:space="preserve"> </w:t>
      </w:r>
      <w:r>
        <w:t xml:space="preserve">triggers the classification recipe,</w:t>
      </w:r>
      <w:r>
        <w:t xml:space="preserve"> </w:t>
      </w:r>
      <w:r>
        <w:rPr>
          <w:rStyle w:val="VerbatimChar"/>
        </w:rPr>
        <w:t xml:space="preserve">draft</w:t>
      </w:r>
      <w:r>
        <w:t xml:space="preserve"> </w:t>
      </w:r>
      <w:r>
        <w:t xml:space="preserve">triggers document generation, and</w:t>
      </w:r>
      <w:r>
        <w:t xml:space="preserve"> </w:t>
      </w:r>
      <w:r>
        <w:rPr>
          <w:rStyle w:val="VerbatimChar"/>
        </w:rPr>
        <w:t xml:space="preserve">vault upload</w:t>
      </w:r>
      <w:r>
        <w:t xml:space="preserve"> </w:t>
      </w:r>
      <w:r>
        <w:t xml:space="preserve">opens the upload interface – the same API endpoints serve both interfaces. Second, every web action exposes its CLI equivalent through a</w:t>
      </w:r>
      <w:r>
        <w:t xml:space="preserve"> </w:t>
      </w:r>
      <w:r>
        <w:t xml:space="preserve">“</w:t>
      </w:r>
      <w:r>
        <w:t xml:space="preserve">Copy CLI command</w:t>
      </w:r>
      <w:r>
        <w:t xml:space="preserve">”</w:t>
      </w:r>
      <w:r>
        <w:t xml:space="preserve"> </w:t>
      </w:r>
      <w:r>
        <w:t xml:space="preserve">button, enabling users to transition from web discovery to scriptable automation. Third, session state is shared: actions initiated via CLI appear instantly in the web audit trail, and vice versa.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CLI Command</w:t>
            </w:r>
          </w:p>
        </w:tc>
        <w:tc>
          <w:tcPr/>
          <w:p>
            <w:pPr>
              <w:pStyle w:val="Compact"/>
              <w:jc w:val="left"/>
            </w:pPr>
            <w:r>
              <w:t xml:space="preserve">Web UI Equivalent</w:t>
            </w:r>
          </w:p>
        </w:tc>
        <w:tc>
          <w:tcPr/>
          <w:p>
            <w:pPr>
              <w:pStyle w:val="Compact"/>
              <w:jc w:val="left"/>
            </w:pPr>
            <w:r>
              <w:t xml:space="preserve">Bridge Mechanism</w:t>
            </w:r>
          </w:p>
        </w:tc>
      </w:tr>
      <w:tr>
        <w:tc>
          <w:tcPr/>
          <w:p>
            <w:pPr>
              <w:pStyle w:val="Compact"/>
              <w:jc w:val="left"/>
            </w:pPr>
            <w:r>
              <w:rPr>
                <w:rStyle w:val="VerbatimChar"/>
              </w:rPr>
              <w:t xml:space="preserve">crp comply classify</w:t>
            </w:r>
          </w:p>
        </w:tc>
        <w:tc>
          <w:tcPr/>
          <w:p>
            <w:pPr>
              <w:pStyle w:val="Compact"/>
              <w:jc w:val="left"/>
            </w:pPr>
            <w:r>
              <w:t xml:space="preserve">Classification wizard</w:t>
            </w:r>
          </w:p>
        </w:tc>
        <w:tc>
          <w:tcPr/>
          <w:p>
            <w:pPr>
              <w:pStyle w:val="Compact"/>
              <w:jc w:val="left"/>
            </w:pPr>
            <w:r>
              <w:t xml:space="preserve">Palette</w:t>
            </w:r>
            <w:r>
              <w:t xml:space="preserve"> </w:t>
            </w:r>
            <w:r>
              <w:t xml:space="preserve">“</w:t>
            </w:r>
            <w:r>
              <w:t xml:space="preserve">classify</w:t>
            </w:r>
            <w:r>
              <w:t xml:space="preserve">”</w:t>
            </w:r>
            <w:r>
              <w:t xml:space="preserve"> </w:t>
            </w:r>
            <w:r>
              <w:t xml:space="preserve">triggers same API</w:t>
            </w:r>
          </w:p>
        </w:tc>
      </w:tr>
      <w:tr>
        <w:tc>
          <w:tcPr/>
          <w:p>
            <w:pPr>
              <w:pStyle w:val="Compact"/>
              <w:jc w:val="left"/>
            </w:pPr>
            <w:r>
              <w:rPr>
                <w:rStyle w:val="VerbatimChar"/>
              </w:rPr>
              <w:t xml:space="preserve">crp comply draft</w:t>
            </w:r>
          </w:p>
        </w:tc>
        <w:tc>
          <w:tcPr/>
          <w:p>
            <w:pPr>
              <w:pStyle w:val="Compact"/>
              <w:jc w:val="left"/>
            </w:pPr>
            <w:r>
              <w:t xml:space="preserve">Document editor with AI assist</w:t>
            </w:r>
          </w:p>
        </w:tc>
        <w:tc>
          <w:tcPr/>
          <w:p>
            <w:pPr>
              <w:pStyle w:val="Compact"/>
              <w:jc w:val="left"/>
            </w:pPr>
            <w:r>
              <w:t xml:space="preserve">Same prompt templates, visual preview</w:t>
            </w:r>
          </w:p>
        </w:tc>
      </w:tr>
      <w:tr>
        <w:tc>
          <w:tcPr/>
          <w:p>
            <w:pPr>
              <w:pStyle w:val="Compact"/>
              <w:jc w:val="left"/>
            </w:pPr>
            <w:r>
              <w:rPr>
                <w:rStyle w:val="VerbatimChar"/>
              </w:rPr>
              <w:t xml:space="preserve">crp --help</w:t>
            </w:r>
          </w:p>
        </w:tc>
        <w:tc>
          <w:tcPr/>
          <w:p>
            <w:pPr>
              <w:pStyle w:val="Compact"/>
              <w:jc w:val="left"/>
            </w:pPr>
            <w:r>
              <w:t xml:space="preserve">In-app help panel with search</w:t>
            </w:r>
          </w:p>
        </w:tc>
        <w:tc>
          <w:tcPr/>
          <w:p>
            <w:pPr>
              <w:pStyle w:val="Compact"/>
              <w:jc w:val="left"/>
            </w:pPr>
            <w:r>
              <w:t xml:space="preserve">CLI help text indexed in global search</w:t>
            </w:r>
          </w:p>
        </w:tc>
      </w:tr>
      <w:tr>
        <w:tc>
          <w:tcPr/>
          <w:p>
            <w:pPr>
              <w:pStyle w:val="Compact"/>
              <w:jc w:val="left"/>
            </w:pPr>
            <w:r>
              <w:rPr>
                <w:rStyle w:val="VerbatimChar"/>
              </w:rPr>
              <w:t xml:space="preserve">crp recipe list</w:t>
            </w:r>
          </w:p>
        </w:tc>
        <w:tc>
          <w:tcPr/>
          <w:p>
            <w:pPr>
              <w:pStyle w:val="Compact"/>
              <w:jc w:val="left"/>
            </w:pPr>
            <w:r>
              <w:t xml:space="preserve">Recipe library grid view</w:t>
            </w:r>
          </w:p>
        </w:tc>
        <w:tc>
          <w:tcPr/>
          <w:p>
            <w:pPr>
              <w:pStyle w:val="Compact"/>
              <w:jc w:val="left"/>
            </w:pPr>
            <w:r>
              <w:t xml:space="preserve">Same data layer, card-based presentation</w:t>
            </w:r>
          </w:p>
        </w:tc>
      </w:tr>
      <w:tr>
        <w:tc>
          <w:tcPr/>
          <w:p>
            <w:pPr>
              <w:pStyle w:val="Compact"/>
              <w:jc w:val="left"/>
            </w:pPr>
            <w:r>
              <w:rPr>
                <w:rStyle w:val="VerbatimChar"/>
              </w:rPr>
              <w:t xml:space="preserve">crp vault upload</w:t>
            </w:r>
          </w:p>
        </w:tc>
        <w:tc>
          <w:tcPr/>
          <w:p>
            <w:pPr>
              <w:pStyle w:val="Compact"/>
              <w:jc w:val="left"/>
            </w:pPr>
            <w:r>
              <w:t xml:space="preserve">Drag-and-drop upload zone</w:t>
            </w:r>
          </w:p>
        </w:tc>
        <w:tc>
          <w:tcPr/>
          <w:p>
            <w:pPr>
              <w:pStyle w:val="Compact"/>
              <w:jc w:val="left"/>
            </w:pPr>
            <w:r>
              <w:t xml:space="preserve">Same API endpoint, visual feedback</w:t>
            </w:r>
          </w:p>
        </w:tc>
      </w:tr>
      <w:tr>
        <w:tc>
          <w:tcPr/>
          <w:p>
            <w:pPr>
              <w:pStyle w:val="Compact"/>
              <w:jc w:val="left"/>
            </w:pPr>
            <w:r>
              <w:rPr>
                <w:rStyle w:val="VerbatimChar"/>
              </w:rPr>
              <w:t xml:space="preserve">crp vault list</w:t>
            </w:r>
          </w:p>
        </w:tc>
        <w:tc>
          <w:tcPr/>
          <w:p>
            <w:pPr>
              <w:pStyle w:val="Compact"/>
              <w:jc w:val="left"/>
            </w:pPr>
            <w:r>
              <w:t xml:space="preserve">Vault document table</w:t>
            </w:r>
          </w:p>
        </w:tc>
        <w:tc>
          <w:tcPr/>
          <w:p>
            <w:pPr>
              <w:pStyle w:val="Compact"/>
              <w:jc w:val="left"/>
            </w:pPr>
            <w:r>
              <w:t xml:space="preserve">Shared search index, identical filters</w:t>
            </w:r>
          </w:p>
        </w:tc>
      </w:tr>
    </w:tbl>
    <w:p>
      <w:pPr>
        <w:pStyle w:val="BodyText"/>
      </w:pPr>
      <w:r>
        <w:t xml:space="preserve">The bidirectional bridge serves two user segments: CLI-native users can click</w:t>
      </w:r>
      <w:r>
        <w:t xml:space="preserve"> </w:t>
      </w:r>
      <w:r>
        <w:t xml:space="preserve">“</w:t>
      </w:r>
      <w:r>
        <w:t xml:space="preserve">View in Vault</w:t>
      </w:r>
      <w:r>
        <w:t xml:space="preserve">”</w:t>
      </w:r>
      <w:r>
        <w:t xml:space="preserve"> </w:t>
      </w:r>
      <w:r>
        <w:t xml:space="preserve">links that open the web UI at the exact item they just created, while web users can copy CLI equivalents and schedule them via cron or CI/CD pipelines. Every API improvement benefits both interfaces simultaneously.</w:t>
      </w:r>
    </w:p>
    <w:p>
      <w:pPr>
        <w:pStyle w:val="BodyText"/>
      </w:pPr>
      <w:r>
        <w:t xml:space="preserve">For keyboard-native users, a</w:t>
      </w:r>
      <w:r>
        <w:t xml:space="preserve"> </w:t>
      </w:r>
      <w:r>
        <w:t xml:space="preserve">“</w:t>
      </w:r>
      <w:r>
        <w:t xml:space="preserve">Terminal Mode</w:t>
      </w:r>
      <w:r>
        <w:t xml:space="preserve">”</w:t>
      </w:r>
      <w:r>
        <w:t xml:space="preserve"> </w:t>
      </w:r>
      <w:r>
        <w:t xml:space="preserve">toggle presents a web-based terminal emulator with command history, Ctrl+U reset, Tab completion, and scroll management</w:t>
      </w:r>
      <w:r>
        <w:t xml:space="preserve"> </w:t>
      </w:r>
      <w:r>
        <w:rPr>
          <w:vertAlign w:val="superscript"/>
        </w:rPr>
        <w:footnoteReference w:id="86"/>
      </w:r>
      <w:r>
        <w:t xml:space="preserve"> </w:t>
      </w:r>
      <w:r>
        <w:rPr>
          <w:vertAlign w:val="superscript"/>
        </w:rPr>
        <w:footnoteReference w:id="87"/>
      </w:r>
      <w:r>
        <w:t xml:space="preserve">– eliminating the need to switch between browser and terminal and preserving the 9.5 minutes of refocus time each context switch would otherwise consume</w:t>
      </w:r>
      <w:r>
        <w:t xml:space="preserve"> </w:t>
      </w:r>
      <w:fldSimple w:instr="NOTEREF _Ref_Footnote_75 \h \f">
        <w:r>
          <w:rPr>
            <w:vertAlign w:val="superscript"/>
          </w:rPr>
          <w:t>75</w:t>
        </w:r>
      </w:fldSimple>
      <w:r>
        <w:t xml:space="preserve">.</w:t>
      </w:r>
    </w:p>
    <w:p>
      <w:r>
        <w:pict>
          <v:rect style="width:0;height:1.5pt" o:hralign="center" o:hrstd="t" o:hr="t"/>
        </w:pict>
      </w:r>
    </w:p>
    <w:bookmarkEnd w:id="49"/>
    <w:bookmarkEnd w:id="50"/>
    <w:bookmarkStart w:id="59" w:name="ai-agent-ux-patterns"/>
    <w:p>
      <w:pPr>
        <w:pStyle w:val="Heading2"/>
      </w:pPr>
      <w:r>
        <w:t xml:space="preserve">4. AI Agent UX Patterns</w:t>
      </w:r>
    </w:p>
    <w:p>
      <w:pPr>
        <w:pStyle w:val="FirstParagraph"/>
      </w:pPr>
      <w:r>
        <w:t xml:space="preserve">The preceding chapters examined real-time interface mechanics and navigation architecture. This chapter addresses the interaction paradigm above both: the UX patterns through which an AI agent earns, maintains, and calibrates user trust. For CRP Comply’s streaming compliance assistant, these patterns are the structural conditions under which a compliance professional will delegate regulatory reasoning to an autonomous system. Research by Smashing Magazine, UXmatters, and UX Magazine (2025–2026) established six core agentic UX patterns that achieved industry consensus, described as</w:t>
      </w:r>
      <w:r>
        <w:t xml:space="preserve"> </w:t>
      </w:r>
      <w:r>
        <w:t xml:space="preserve">“</w:t>
      </w:r>
      <w:r>
        <w:t xml:space="preserve">the new hamburger menu and infinite scroll of the agentic era</w:t>
      </w:r>
      <w:r>
        <w:t xml:space="preserve">”</w:t>
      </w:r>
      <w:r>
        <w:t xml:space="preserve"> </w:t>
      </w:r>
      <w:r>
        <w:rPr>
          <w:vertAlign w:val="superscript"/>
        </w:rPr>
        <w:footnoteReference w:id="88"/>
      </w:r>
      <w:r>
        <w:t xml:space="preserve">.</w:t>
      </w:r>
    </w:p>
    <w:bookmarkStart w:id="54" w:name="the-six-core-agentic-ux-patterns"/>
    <w:p>
      <w:pPr>
        <w:pStyle w:val="Heading3"/>
      </w:pPr>
      <w:r>
        <w:t xml:space="preserve">4.1 The Six Core Agentic UX Patterns</w:t>
      </w:r>
    </w:p>
    <w:p>
      <w:pPr>
        <w:pStyle w:val="FirstParagraph"/>
      </w:pPr>
      <w:r>
        <w:t xml:space="preserve">The six patterns emerged from convergent evolution across Anthropic, Cursor, GitHub, Perplexity, and Replit. Smashing Magazine’s two-part series codified what practitioners had independently discovered: trust is not a by-product of accuracy but a function of progressive disclosure of autonomy and reasoning</w:t>
      </w:r>
      <w:r>
        <w:t xml:space="preserve"> </w:t>
      </w:r>
      <w:fldSimple w:instr="NOTEREF _Ref_Footnote_24 \h \f">
        <w:r>
          <w:rPr>
            <w:vertAlign w:val="superscript"/>
          </w:rPr>
          <w:t>24</w:t>
        </w:r>
      </w:fldSimple>
      <w:r>
        <w:t xml:space="preserve">. The patterns are: (1)</w:t>
      </w:r>
      <w:r>
        <w:t xml:space="preserve"> </w:t>
      </w:r>
      <w:r>
        <w:rPr>
          <w:bCs/>
          <w:b/>
        </w:rPr>
        <w:t xml:space="preserve">Intent Preview</w:t>
      </w:r>
      <w:r>
        <w:t xml:space="preserve">—showing planned steps before acting; (2)</w:t>
      </w:r>
      <w:r>
        <w:t xml:space="preserve"> </w:t>
      </w:r>
      <w:r>
        <w:rPr>
          <w:bCs/>
          <w:b/>
        </w:rPr>
        <w:t xml:space="preserve">Autonomy Dial</w:t>
      </w:r>
      <w:r>
        <w:t xml:space="preserve">—user-set agent independence; (3)</w:t>
      </w:r>
      <w:r>
        <w:t xml:space="preserve"> </w:t>
      </w:r>
      <w:r>
        <w:rPr>
          <w:bCs/>
          <w:b/>
        </w:rPr>
        <w:t xml:space="preserve">Explainable Rationale</w:t>
      </w:r>
      <w:r>
        <w:t xml:space="preserve">—proactively answering</w:t>
      </w:r>
      <w:r>
        <w:t xml:space="preserve"> </w:t>
      </w:r>
      <w:r>
        <w:t xml:space="preserve">“</w:t>
      </w:r>
      <w:r>
        <w:t xml:space="preserve">why did it do that?</w:t>
      </w:r>
      <w:r>
        <w:t xml:space="preserve">”</w:t>
      </w:r>
      <w:r>
        <w:t xml:space="preserve">; (4)</w:t>
      </w:r>
      <w:r>
        <w:t xml:space="preserve"> </w:t>
      </w:r>
      <w:r>
        <w:rPr>
          <w:bCs/>
          <w:b/>
        </w:rPr>
        <w:t xml:space="preserve">Confidence Signal</w:t>
      </w:r>
      <w:r>
        <w:t xml:space="preserve">—calibrated certainty indicators; (5)</w:t>
      </w:r>
      <w:r>
        <w:t xml:space="preserve"> </w:t>
      </w:r>
      <w:r>
        <w:rPr>
          <w:bCs/>
          <w:b/>
        </w:rPr>
        <w:t xml:space="preserve">Action Audit &amp; Undo</w:t>
      </w:r>
      <w:r>
        <w:t xml:space="preserve">—reversible actions; and (6)</w:t>
      </w:r>
      <w:r>
        <w:t xml:space="preserve"> </w:t>
      </w:r>
      <w:r>
        <w:rPr>
          <w:bCs/>
          <w:b/>
        </w:rPr>
        <w:t xml:space="preserve">Escalation Pathway</w:t>
      </w:r>
      <w:r>
        <w:t xml:space="preserve">—human help when uncertain.</w:t>
      </w:r>
    </w:p>
    <w:p>
      <w:pPr>
        <w:pStyle w:val="BodyText"/>
      </w:pPr>
      <w:r>
        <w:t xml:space="preserve">The convergence is striking. Claude Code ships three permission modes cycled via single keystroke</w:t>
      </w:r>
      <w:r>
        <w:t xml:space="preserve"> </w:t>
      </w:r>
      <w:fldSimple w:instr="NOTEREF _Ref_Footnote_9 \h \f">
        <w:r>
          <w:rPr>
            <w:vertAlign w:val="superscript"/>
          </w:rPr>
          <w:t>9</w:t>
        </w:r>
      </w:fldSimple>
      <w:r>
        <w:t xml:space="preserve">. Cursor evolved from inline completions to Agent Mode to Background Agent</w:t>
      </w:r>
      <w:r>
        <w:t xml:space="preserve"> </w:t>
      </w:r>
      <w:fldSimple w:instr="NOTEREF _Ref_Footnote_9 \h \f">
        <w:r>
          <w:rPr>
            <w:vertAlign w:val="superscript"/>
          </w:rPr>
          <w:t>9</w:t>
        </w:r>
      </w:fldSimple>
      <w:r>
        <w:t xml:space="preserve">. GitHub Copilot walked the same path over four generations</w:t>
      </w:r>
      <w:r>
        <w:t xml:space="preserve"> </w:t>
      </w:r>
      <w:fldSimple w:instr="NOTEREF _Ref_Footnote_9 \h \f">
        <w:r>
          <w:rPr>
            <w:vertAlign w:val="superscript"/>
          </w:rPr>
          <w:t>9</w:t>
        </w:r>
      </w:fldSimple>
      <w:r>
        <w:t xml:space="preserve">. Replit implements checkpoint-based rollback with named restore points</w:t>
      </w:r>
      <w:r>
        <w:t xml:space="preserve"> </w:t>
      </w:r>
      <w:r>
        <w:rPr>
          <w:vertAlign w:val="superscript"/>
        </w:rPr>
        <w:footnoteReference w:id="89"/>
      </w:r>
      <w:r>
        <w:t xml:space="preserve">. Product-specific experimentation has hardened into shared design grammar.</w:t>
      </w:r>
    </w:p>
    <w:p>
      <w:pPr>
        <w:pStyle w:val="BodyText"/>
      </w:pPr>
      <w:r>
        <w:rPr>
          <w:bCs/>
          <w:b/>
        </w:rPr>
        <w:t xml:space="preserve">Table 4.1: Six Core Agentic UX Patterns—Definition, Purpose, and Industry Evidence</w:t>
      </w:r>
    </w:p>
    <w:tbl>
      <w:tblPr>
        <w:tblStyle w:val="Table"/>
        <w:tblW w:type="pct" w:w="5000"/>
        <w:tblLook w:firstRow="1" w:lastRow="0" w:firstColumn="0" w:lastColumn="0" w:noHBand="0" w:noVBand="0" w:val="0020"/>
      </w:tblPr>
      <w:tblGrid>
        <w:gridCol w:w="1228"/>
        <w:gridCol w:w="1502"/>
        <w:gridCol w:w="2321"/>
        <w:gridCol w:w="2867"/>
      </w:tblGrid>
      <w:tr>
        <w:trPr>
          <w:tblHeader w:val="true"/>
        </w:trPr>
        <w:tc>
          <w:tcPr/>
          <w:p>
            <w:pPr>
              <w:pStyle w:val="Compact"/>
              <w:jc w:val="left"/>
            </w:pPr>
            <w:r>
              <w:t xml:space="preserve">Pattern</w:t>
            </w:r>
          </w:p>
        </w:tc>
        <w:tc>
          <w:tcPr/>
          <w:p>
            <w:pPr>
              <w:pStyle w:val="Compact"/>
              <w:jc w:val="left"/>
            </w:pPr>
            <w:r>
              <w:t xml:space="preserve">Definition</w:t>
            </w:r>
          </w:p>
        </w:tc>
        <w:tc>
          <w:tcPr/>
          <w:p>
            <w:pPr>
              <w:pStyle w:val="Compact"/>
              <w:jc w:val="left"/>
            </w:pPr>
            <w:r>
              <w:t xml:space="preserve">Primary Purpose</w:t>
            </w:r>
          </w:p>
        </w:tc>
        <w:tc>
          <w:tcPr/>
          <w:p>
            <w:pPr>
              <w:pStyle w:val="Compact"/>
              <w:jc w:val="left"/>
            </w:pPr>
            <w:r>
              <w:t xml:space="preserve">Key Evidence Source</w:t>
            </w:r>
          </w:p>
        </w:tc>
      </w:tr>
      <w:tr>
        <w:tc>
          <w:tcPr/>
          <w:p>
            <w:pPr>
              <w:pStyle w:val="Compact"/>
              <w:jc w:val="left"/>
            </w:pPr>
            <w:r>
              <w:t xml:space="preserve">Intent Preview</w:t>
            </w:r>
          </w:p>
        </w:tc>
        <w:tc>
          <w:tcPr/>
          <w:p>
            <w:pPr>
              <w:pStyle w:val="Compact"/>
              <w:jc w:val="left"/>
            </w:pPr>
            <w:r>
              <w:t xml:space="preserve">Numbered plan of steps before execution</w:t>
            </w:r>
          </w:p>
        </w:tc>
        <w:tc>
          <w:tcPr/>
          <w:p>
            <w:pPr>
              <w:pStyle w:val="Compact"/>
              <w:jc w:val="left"/>
            </w:pPr>
            <w:r>
              <w:t xml:space="preserve">Reduce anxiety; enable plan editing</w:t>
            </w:r>
          </w:p>
        </w:tc>
        <w:tc>
          <w:tcPr/>
          <w:p>
            <w:pPr>
              <w:pStyle w:val="Compact"/>
              <w:jc w:val="left"/>
            </w:pPr>
            <w:r>
              <w:t xml:space="preserve">Columbia Cocoa study: interactive plans provide</w:t>
            </w:r>
            <w:r>
              <w:t xml:space="preserve"> </w:t>
            </w:r>
            <w:r>
              <w:t xml:space="preserve">“</w:t>
            </w:r>
            <w:r>
              <w:t xml:space="preserve">assurance about and control over the agent’s execution trajectory</w:t>
            </w:r>
            <w:r>
              <w:t xml:space="preserve">”</w:t>
            </w:r>
            <w:r>
              <w:t xml:space="preserve"> </w:t>
            </w:r>
            <w:r>
              <w:rPr>
                <w:vertAlign w:val="superscript"/>
              </w:rPr>
              <w:footnoteReference w:id="90"/>
            </w:r>
            <w:r>
              <w:t xml:space="preserve">; Knight Columbia Institute</w:t>
            </w:r>
            <w:r>
              <w:t xml:space="preserve"> </w:t>
            </w:r>
            <w:r>
              <w:rPr>
                <w:vertAlign w:val="superscript"/>
              </w:rPr>
              <w:footnoteReference w:id="91"/>
            </w:r>
          </w:p>
        </w:tc>
      </w:tr>
      <w:tr>
        <w:tc>
          <w:tcPr/>
          <w:p>
            <w:pPr>
              <w:pStyle w:val="Compact"/>
              <w:jc w:val="left"/>
            </w:pPr>
            <w:r>
              <w:t xml:space="preserve">Autonomy Dial</w:t>
            </w:r>
          </w:p>
        </w:tc>
        <w:tc>
          <w:tcPr/>
          <w:p>
            <w:pPr>
              <w:pStyle w:val="Compact"/>
              <w:jc w:val="left"/>
            </w:pPr>
            <w:r>
              <w:t xml:space="preserve">User-controlled permission levels</w:t>
            </w:r>
          </w:p>
        </w:tc>
        <w:tc>
          <w:tcPr/>
          <w:p>
            <w:pPr>
              <w:pStyle w:val="Compact"/>
              <w:jc w:val="left"/>
            </w:pPr>
            <w:r>
              <w:t xml:space="preserve">Prevent abandonment after first failure</w:t>
            </w:r>
          </w:p>
        </w:tc>
        <w:tc>
          <w:tcPr/>
          <w:p>
            <w:pPr>
              <w:pStyle w:val="Compact"/>
              <w:jc w:val="left"/>
            </w:pPr>
            <w:r>
              <w:t xml:space="preserve">Claude Code’s Plan/Normal/Auto-Accept modes</w:t>
            </w:r>
            <w:r>
              <w:t xml:space="preserve"> </w:t>
            </w:r>
            <w:fldSimple w:instr="NOTEREF _Ref_Footnote_9 \h \f">
              <w:r>
                <w:rPr>
                  <w:vertAlign w:val="superscript"/>
                </w:rPr>
                <w:t>9</w:t>
              </w:r>
            </w:fldSimple>
            <w:r>
              <w:t xml:space="preserve">; every major product</w:t>
            </w:r>
            <w:r>
              <w:t xml:space="preserve"> </w:t>
            </w:r>
            <w:r>
              <w:t xml:space="preserve">“</w:t>
            </w:r>
            <w:r>
              <w:t xml:space="preserve">made autonomy a dial the user controls</w:t>
            </w:r>
            <w:r>
              <w:t xml:space="preserve">”</w:t>
            </w:r>
            <w:r>
              <w:t xml:space="preserve"> </w:t>
            </w:r>
            <w:fldSimple w:instr="NOTEREF _Ref_Footnote_9 \h \f">
              <w:r>
                <w:rPr>
                  <w:vertAlign w:val="superscript"/>
                </w:rPr>
                <w:t>9</w:t>
              </w:r>
            </w:fldSimple>
          </w:p>
        </w:tc>
      </w:tr>
      <w:tr>
        <w:tc>
          <w:tcPr/>
          <w:p>
            <w:pPr>
              <w:pStyle w:val="Compact"/>
              <w:jc w:val="left"/>
            </w:pPr>
            <w:r>
              <w:t xml:space="preserve">Explainable Rationale</w:t>
            </w:r>
          </w:p>
        </w:tc>
        <w:tc>
          <w:tcPr/>
          <w:p>
            <w:pPr>
              <w:pStyle w:val="Compact"/>
              <w:jc w:val="left"/>
            </w:pPr>
            <w:r>
              <w:t xml:space="preserve">Concise justification grounded in user inputs</w:t>
            </w:r>
          </w:p>
        </w:tc>
        <w:tc>
          <w:tcPr/>
          <w:p>
            <w:pPr>
              <w:pStyle w:val="Compact"/>
              <w:jc w:val="left"/>
            </w:pPr>
            <w:r>
              <w:t xml:space="preserve">Prevent support tickets; build mental models</w:t>
            </w:r>
          </w:p>
        </w:tc>
        <w:tc>
          <w:tcPr/>
          <w:p>
            <w:pPr>
              <w:pStyle w:val="Compact"/>
              <w:jc w:val="left"/>
            </w:pPr>
            <w:r>
              <w:t xml:space="preserve">CSCW 2025: higher transparency improves trust and willingness to use</w:t>
            </w:r>
            <w:r>
              <w:t xml:space="preserve"> </w:t>
            </w:r>
            <w:fldSimple w:instr="NOTEREF _Ref_Footnote_88 \h \f">
              <w:r>
                <w:rPr>
                  <w:vertAlign w:val="superscript"/>
                </w:rPr>
                <w:t>88</w:t>
              </w:r>
            </w:fldSimple>
            <w:r>
              <w:t xml:space="preserve">;</w:t>
            </w:r>
            <w:r>
              <w:t xml:space="preserve"> </w:t>
            </w:r>
            <w:r>
              <w:t xml:space="preserve">“</w:t>
            </w:r>
            <w:r>
              <w:t xml:space="preserve">Because you said X, I did Y</w:t>
            </w:r>
            <w:r>
              <w:t xml:space="preserve">”</w:t>
            </w:r>
            <w:r>
              <w:t xml:space="preserve"> </w:t>
            </w:r>
            <w:r>
              <w:t xml:space="preserve">structure</w:t>
            </w:r>
            <w:r>
              <w:t xml:space="preserve"> </w:t>
            </w:r>
            <w:fldSimple w:instr="NOTEREF _Ref_Footnote_24 \h \f">
              <w:r>
                <w:rPr>
                  <w:vertAlign w:val="superscript"/>
                </w:rPr>
                <w:t>24</w:t>
              </w:r>
            </w:fldSimple>
          </w:p>
        </w:tc>
      </w:tr>
      <w:tr>
        <w:tc>
          <w:tcPr/>
          <w:p>
            <w:pPr>
              <w:pStyle w:val="Compact"/>
              <w:jc w:val="left"/>
            </w:pPr>
            <w:r>
              <w:t xml:space="preserve">Confidence Signal</w:t>
            </w:r>
          </w:p>
        </w:tc>
        <w:tc>
          <w:tcPr/>
          <w:p>
            <w:pPr>
              <w:pStyle w:val="Compact"/>
              <w:jc w:val="left"/>
            </w:pPr>
            <w:r>
              <w:t xml:space="preserve">Calibrated reliability indicator (qualitative)</w:t>
            </w:r>
          </w:p>
        </w:tc>
        <w:tc>
          <w:tcPr/>
          <w:p>
            <w:pPr>
              <w:pStyle w:val="Compact"/>
              <w:jc w:val="left"/>
            </w:pPr>
            <w:r>
              <w:t xml:space="preserve">Enable appropriate trust calibration</w:t>
            </w:r>
          </w:p>
        </w:tc>
        <w:tc>
          <w:tcPr/>
          <w:p>
            <w:pPr>
              <w:pStyle w:val="Compact"/>
              <w:jc w:val="left"/>
            </w:pPr>
            <w:r>
              <w:t xml:space="preserve">MIT CSAIL (2024): confidence indicators increase recommendation following by 30%</w:t>
            </w:r>
            <w:r>
              <w:t xml:space="preserve"> </w:t>
            </w:r>
            <w:r>
              <w:rPr>
                <w:vertAlign w:val="superscript"/>
              </w:rPr>
              <w:footnoteReference w:id="92"/>
            </w:r>
            <w:r>
              <w:t xml:space="preserve">; NNGroup: qualitative labels outperform numeric scores</w:t>
            </w:r>
            <w:r>
              <w:t xml:space="preserve"> </w:t>
            </w:r>
            <w:fldSimple w:instr="NOTEREF _Ref_Footnote_92 \h \f">
              <w:r>
                <w:rPr>
                  <w:vertAlign w:val="superscript"/>
                </w:rPr>
                <w:t>92</w:t>
              </w:r>
            </w:fldSimple>
          </w:p>
        </w:tc>
      </w:tr>
      <w:tr>
        <w:tc>
          <w:tcPr/>
          <w:p>
            <w:pPr>
              <w:pStyle w:val="Compact"/>
              <w:jc w:val="left"/>
            </w:pPr>
            <w:r>
              <w:t xml:space="preserve">Action Audit &amp; Undo</w:t>
            </w:r>
          </w:p>
        </w:tc>
        <w:tc>
          <w:tcPr/>
          <w:p>
            <w:pPr>
              <w:pStyle w:val="Compact"/>
              <w:jc w:val="left"/>
            </w:pPr>
            <w:r>
              <w:t xml:space="preserve">Chronological action log with per-action reversal</w:t>
            </w:r>
          </w:p>
        </w:tc>
        <w:tc>
          <w:tcPr/>
          <w:p>
            <w:pPr>
              <w:pStyle w:val="Compact"/>
              <w:jc w:val="left"/>
            </w:pPr>
            <w:r>
              <w:t xml:space="preserve">Create psychological safety for delegation</w:t>
            </w:r>
          </w:p>
        </w:tc>
        <w:tc>
          <w:tcPr/>
          <w:p>
            <w:pPr>
              <w:pStyle w:val="Compact"/>
              <w:jc w:val="left"/>
            </w:pPr>
            <w:r>
              <w:t xml:space="preserve">Replit checkpoint card: scope summary, human-readable title, one-click rollback</w:t>
            </w:r>
            <w:r>
              <w:t xml:space="preserve"> </w:t>
            </w:r>
            <w:fldSimple w:instr="NOTEREF _Ref_Footnote_89 \h \f">
              <w:r>
                <w:rPr>
                  <w:vertAlign w:val="superscript"/>
                </w:rPr>
                <w:t>89</w:t>
              </w:r>
            </w:fldSimple>
          </w:p>
        </w:tc>
      </w:tr>
      <w:tr>
        <w:tc>
          <w:tcPr/>
          <w:p>
            <w:pPr>
              <w:pStyle w:val="Compact"/>
              <w:jc w:val="left"/>
            </w:pPr>
            <w:r>
              <w:t xml:space="preserve">Escalation Pathway</w:t>
            </w:r>
          </w:p>
        </w:tc>
        <w:tc>
          <w:tcPr/>
          <w:p>
            <w:pPr>
              <w:pStyle w:val="Compact"/>
              <w:jc w:val="left"/>
            </w:pPr>
            <w:r>
              <w:t xml:space="preserve">Clear route to human expert when uncertain</w:t>
            </w:r>
          </w:p>
        </w:tc>
        <w:tc>
          <w:tcPr/>
          <w:p>
            <w:pPr>
              <w:pStyle w:val="Compact"/>
              <w:jc w:val="left"/>
            </w:pPr>
            <w:r>
              <w:t xml:space="preserve">Prevent dead-ends; maintain trust</w:t>
            </w:r>
          </w:p>
        </w:tc>
        <w:tc>
          <w:tcPr/>
          <w:p>
            <w:pPr>
              <w:pStyle w:val="Compact"/>
              <w:jc w:val="left"/>
            </w:pPr>
            <w:r>
              <w:t xml:space="preserve">Healthy escalation frequency: 5–15% of tasks with &gt;90% recovery</w:t>
            </w:r>
            <w:r>
              <w:t xml:space="preserve"> </w:t>
            </w:r>
            <w:fldSimple w:instr="NOTEREF _Ref_Footnote_24 \h \f">
              <w:r>
                <w:rPr>
                  <w:vertAlign w:val="superscript"/>
                </w:rPr>
                <w:t>24</w:t>
              </w:r>
            </w:fldSimple>
            <w:r>
              <w:t xml:space="preserve">; every refusal needs a next step</w:t>
            </w:r>
            <w:r>
              <w:t xml:space="preserve"> </w:t>
            </w:r>
            <w:r>
              <w:rPr>
                <w:vertAlign w:val="superscript"/>
              </w:rPr>
              <w:footnoteReference w:id="93"/>
            </w:r>
          </w:p>
        </w:tc>
      </w:tr>
    </w:tbl>
    <w:p>
      <w:pPr>
        <w:pStyle w:val="BodyText"/>
      </w:pPr>
      <w:r>
        <w:t xml:space="preserve">Figure 4.1 visualises adoption depth across major products. Perplexity leads in Confidence Signal and Escalation Pathway due to its research-centric citation model</w:t>
      </w:r>
      <w:r>
        <w:t xml:space="preserve"> </w:t>
      </w:r>
      <w:r>
        <w:rPr>
          <w:vertAlign w:val="superscript"/>
        </w:rPr>
        <w:footnoteReference w:id="94"/>
      </w:r>
      <w:r>
        <w:t xml:space="preserve">; Claude Code and Cursor lead in Intent Preview and Autonomy Dial</w:t>
      </w:r>
      <w:r>
        <w:t xml:space="preserve"> </w:t>
      </w:r>
      <w:fldSimple w:instr="NOTEREF _Ref_Footnote_9 \h \f">
        <w:r>
          <w:rPr>
            <w:vertAlign w:val="superscript"/>
          </w:rPr>
          <w:t>9</w:t>
        </w:r>
      </w:fldSimple>
      <w:r>
        <w:t xml:space="preserve">. No product fully implements all six at depth—representing CRP Comply’s clearest differentiation opportunity.</w:t>
      </w:r>
    </w:p>
    <w:p>
      <w:pPr>
        <w:pStyle w:val="CaptionedFigure"/>
      </w:pPr>
      <w:r>
        <w:drawing>
          <wp:inline>
            <wp:extent cx="5334000" cy="3250591"/>
            <wp:effectExtent b="0" l="0" r="0" t="0"/>
            <wp:docPr descr="Six Core Agentic UX Patterns: Adoption Across Major AI Products" title="" id="52" name="Picture"/>
            <a:graphic>
              <a:graphicData uri="http://schemas.openxmlformats.org/drawingml/2006/picture">
                <pic:pic>
                  <pic:nvPicPr>
                    <pic:cNvPr descr="fig4_1_agent_patterns_adoption.png" id="53" name="Picture"/>
                    <pic:cNvPicPr>
                      <a:picLocks noChangeArrowheads="1" noChangeAspect="1"/>
                    </pic:cNvPicPr>
                  </pic:nvPicPr>
                  <pic:blipFill>
                    <a:blip r:embed="rId51"/>
                    <a:stretch>
                      <a:fillRect/>
                    </a:stretch>
                  </pic:blipFill>
                  <pic:spPr bwMode="auto">
                    <a:xfrm>
                      <a:off x="0" y="0"/>
                      <a:ext cx="5334000" cy="3250591"/>
                    </a:xfrm>
                    <a:prstGeom prst="rect">
                      <a:avLst/>
                    </a:prstGeom>
                    <a:noFill/>
                    <a:ln w="9525">
                      <a:noFill/>
                      <a:headEnd/>
                      <a:tailEnd/>
                    </a:ln>
                  </pic:spPr>
                </pic:pic>
              </a:graphicData>
            </a:graphic>
          </wp:inline>
        </w:drawing>
      </w:r>
    </w:p>
    <w:p>
      <w:pPr>
        <w:pStyle w:val="ImageCaption"/>
      </w:pPr>
      <w:r>
        <w:t xml:space="preserve">Six Core Agentic UX Patterns: Adoption Across Major AI Products</w:t>
      </w:r>
    </w:p>
    <w:p>
      <w:pPr>
        <w:pStyle w:val="BodyText"/>
      </w:pPr>
      <w:r>
        <w:rPr>
          <w:iCs/>
          <w:i/>
        </w:rPr>
        <w:t xml:space="preserve">Figure 4.1: Pattern adoption depth across six products. Full implementation (●●●) indicates mature first-class support. CRP Comply’s target state assumes full deployment of all six patterns. Data from product documentation and UX pattern libraries</w:t>
      </w:r>
      <w:r>
        <w:rPr>
          <w:iCs/>
          <w:i/>
        </w:rPr>
        <w:t xml:space="preserve"> </w:t>
      </w:r>
      <w:fldSimple w:instr="NOTEREF _Ref_Footnote_24 \h \f">
        <w:r>
          <w:rPr>
            <w:vertAlign w:val="superscript"/>
          </w:rPr>
          <w:t>24</w:t>
        </w:r>
      </w:fldSimple>
      <w:r>
        <w:rPr>
          <w:iCs/>
          <w:i/>
        </w:rPr>
        <w:t xml:space="preserve"> </w:t>
      </w:r>
      <w:fldSimple w:instr="NOTEREF _Ref_Footnote_94 \h \f">
        <w:r>
          <w:rPr>
            <w:vertAlign w:val="superscript"/>
          </w:rPr>
          <w:t>94</w:t>
        </w:r>
      </w:fldSimple>
      <w:r>
        <w:rPr>
          <w:iCs/>
          <w:i/>
        </w:rPr>
        <w:t xml:space="preserve"> </w:t>
      </w:r>
      <w:fldSimple w:instr="NOTEREF _Ref_Footnote_88 \h \f">
        <w:r>
          <w:rPr>
            <w:vertAlign w:val="superscript"/>
          </w:rPr>
          <w:t>88</w:t>
        </w:r>
      </w:fldSimple>
      <w:r>
        <w:rPr>
          <w:iCs/>
          <w:i/>
        </w:rPr>
        <w:t xml:space="preserve"> </w:t>
      </w:r>
      <w:fldSimple w:instr="NOTEREF _Ref_Footnote_9 \h \f">
        <w:r>
          <w:rPr>
            <w:vertAlign w:val="superscript"/>
          </w:rPr>
          <w:t>9</w:t>
        </w:r>
      </w:fldSimple>
      <w:r>
        <w:rPr>
          <w:iCs/>
          <w:i/>
        </w:rPr>
        <w:t xml:space="preserve">.</w:t>
      </w:r>
    </w:p>
    <w:bookmarkEnd w:id="54"/>
    <w:bookmarkStart w:id="55" w:name="intent-preview-for-document-generation"/>
    <w:p>
      <w:pPr>
        <w:pStyle w:val="Heading3"/>
      </w:pPr>
      <w:r>
        <w:t xml:space="preserve">4.2 Intent Preview for Document Generation</w:t>
      </w:r>
    </w:p>
    <w:p>
      <w:pPr>
        <w:pStyle w:val="FirstParagraph"/>
      </w:pPr>
      <w:r>
        <w:t xml:space="preserve">The Intent Preview is the single highest-impact pattern for compliance trust-building</w:t>
      </w:r>
      <w:r>
        <w:t xml:space="preserve"> </w:t>
      </w:r>
      <w:r>
        <w:rPr>
          <w:vertAlign w:val="superscript"/>
        </w:rPr>
        <w:footnoteReference w:id="95"/>
      </w:r>
      <w:r>
        <w:t xml:space="preserve">. Before any significant action, the agent displays a scannable preview of planned steps with reversibility indicators, edit controls, and explicit approve/reject buttons</w:t>
      </w:r>
      <w:r>
        <w:t xml:space="preserve"> </w:t>
      </w:r>
      <w:fldSimple w:instr="NOTEREF _Ref_Footnote_95 \h \f">
        <w:r>
          <w:rPr>
            <w:vertAlign w:val="superscript"/>
          </w:rPr>
          <w:t>95</w:t>
        </w:r>
      </w:fldSimple>
      <w:r>
        <w:t xml:space="preserve">. Without it,</w:t>
      </w:r>
      <w:r>
        <w:t xml:space="preserve"> </w:t>
      </w:r>
      <w:r>
        <w:t xml:space="preserve">“</w:t>
      </w:r>
      <w:r>
        <w:t xml:space="preserve">users experience anxiety leading to constant monitoring or blind trust that erodes at the first mistake</w:t>
      </w:r>
      <w:r>
        <w:t xml:space="preserve">”</w:t>
      </w:r>
      <w:r>
        <w:t xml:space="preserve"> </w:t>
      </w:r>
      <w:r>
        <w:rPr>
          <w:vertAlign w:val="superscript"/>
        </w:rPr>
        <w:footnoteReference w:id="96"/>
      </w:r>
      <w:r>
        <w:t xml:space="preserve">.</w:t>
      </w:r>
    </w:p>
    <w:p>
      <w:pPr>
        <w:pStyle w:val="BodyText"/>
      </w:pPr>
      <w:r>
        <w:t xml:space="preserve">For CRP Comply, this activates when a user requests an Annex IV or DPIA. Before generation, the assistant displays:</w:t>
      </w:r>
      <w:r>
        <w:t xml:space="preserve"> </w:t>
      </w:r>
      <w:r>
        <w:t xml:space="preserve">“</w:t>
      </w:r>
      <w:r>
        <w:t xml:space="preserve">I will: (1) scan your system description for risk indicators; (2) identify applicable EU AI Act articles; (3) map obligations to your use case; (4) generate a 12-section draft; (5) flag items requiring human input.</w:t>
      </w:r>
      <w:r>
        <w:t xml:space="preserve">”</w:t>
      </w:r>
      <w:r>
        <w:t xml:space="preserve"> </w:t>
      </w:r>
      <w:r>
        <w:t xml:space="preserve">Each step carries scope estimates—</w:t>
      </w:r>
      <w:r>
        <w:t xml:space="preserve">“</w:t>
      </w:r>
      <w:r>
        <w:t xml:space="preserve">This will take approximately 3 minutes and reference 8–12 regulations</w:t>
      </w:r>
      <w:r>
        <w:t xml:space="preserve">”</w:t>
      </w:r>
      <w:r>
        <w:t xml:space="preserve"> </w:t>
      </w:r>
      <w:fldSimple w:instr="NOTEREF _Ref_Footnote_91 \h \f">
        <w:r>
          <w:rPr>
            <w:vertAlign w:val="superscript"/>
          </w:rPr>
          <w:t>91</w:t>
        </w:r>
      </w:fldSimple>
      <w:r>
        <w:t xml:space="preserve">.</w:t>
      </w:r>
    </w:p>
    <w:p>
      <w:pPr>
        <w:pStyle w:val="BodyText"/>
      </w:pPr>
      <w:r>
        <w:t xml:space="preserve">Plans must be editable, not binary approve-or-reject. The Knight Columbia Institute found that letting users reshape plans—removing steps, adding specific articles, changing structure—</w:t>
      </w:r>
      <w:r>
        <w:t xml:space="preserve">“</w:t>
      </w:r>
      <w:r>
        <w:t xml:space="preserve">increases task completion rates significantly</w:t>
      </w:r>
      <w:r>
        <w:t xml:space="preserve">”</w:t>
      </w:r>
      <w:r>
        <w:t xml:space="preserve"> </w:t>
      </w:r>
      <w:fldSimple w:instr="NOTEREF _Ref_Footnote_26 \h \f">
        <w:r>
          <w:rPr>
            <w:vertAlign w:val="superscript"/>
          </w:rPr>
          <w:t>26</w:t>
        </w:r>
      </w:fldSimple>
      <w:r>
        <w:t xml:space="preserve"> </w:t>
      </w:r>
      <w:fldSimple w:instr="NOTEREF _Ref_Footnote_95 \h \f">
        <w:r>
          <w:rPr>
            <w:vertAlign w:val="superscript"/>
          </w:rPr>
          <w:t>95</w:t>
        </w:r>
      </w:fldSimple>
      <w:r>
        <w:t xml:space="preserve">. The implementation stores a plan version when edited, preventing stale execution states</w:t>
      </w:r>
      <w:r>
        <w:t xml:space="preserve"> </w:t>
      </w:r>
      <w:fldSimple w:instr="NOTEREF _Ref_Footnote_95 \h \f">
        <w:r>
          <w:rPr>
            <w:vertAlign w:val="superscript"/>
          </w:rPr>
          <w:t>95</w:t>
        </w:r>
      </w:fldSimple>
      <w:r>
        <w:t xml:space="preserve">. Interactive plans make</w:t>
      </w:r>
      <w:r>
        <w:t xml:space="preserve"> </w:t>
      </w:r>
      <w:r>
        <w:t xml:space="preserve">“</w:t>
      </w:r>
      <w:r>
        <w:t xml:space="preserve">problems in AI safety such as harm anticipation much more tractable</w:t>
      </w:r>
      <w:r>
        <w:t xml:space="preserve">”</w:t>
      </w:r>
      <w:r>
        <w:t xml:space="preserve"> </w:t>
      </w:r>
      <w:r>
        <w:t xml:space="preserve">by generating a plan the agent adheres to ahead of execution</w:t>
      </w:r>
      <w:r>
        <w:t xml:space="preserve"> </w:t>
      </w:r>
      <w:fldSimple w:instr="NOTEREF _Ref_Footnote_90 \h \f">
        <w:r>
          <w:rPr>
            <w:vertAlign w:val="superscript"/>
          </w:rPr>
          <w:t>90</w:t>
        </w:r>
      </w:fldSimple>
      <w:r>
        <w:t xml:space="preserve">.</w:t>
      </w:r>
    </w:p>
    <w:p>
      <w:pPr>
        <w:pStyle w:val="BodyText"/>
      </w:pPr>
      <w:r>
        <w:t xml:space="preserve">The Plan-and-Execute architectural pattern underpins this: the agent analyses the problem, creates a step-by-step strategy, then carries out each step while observing results</w:t>
      </w:r>
      <w:r>
        <w:t xml:space="preserve"> </w:t>
      </w:r>
      <w:r>
        <w:rPr>
          <w:vertAlign w:val="superscript"/>
        </w:rPr>
        <w:footnoteReference w:id="97"/>
      </w:r>
      <w:r>
        <w:t xml:space="preserve">. This separation improves performance by allowing the agent to</w:t>
      </w:r>
      <w:r>
        <w:t xml:space="preserve"> </w:t>
      </w:r>
      <w:r>
        <w:t xml:space="preserve">“</w:t>
      </w:r>
      <w:r>
        <w:t xml:space="preserve">think before acting</w:t>
      </w:r>
      <w:r>
        <w:t xml:space="preserve">”</w:t>
      </w:r>
      <w:r>
        <w:t xml:space="preserve"> </w:t>
      </w:r>
      <w:fldSimple w:instr="NOTEREF _Ref_Footnote_97 \h \f">
        <w:r>
          <w:rPr>
            <w:vertAlign w:val="superscript"/>
          </w:rPr>
          <w:t>97</w:t>
        </w:r>
      </w:fldSimple>
      <w:r>
        <w:t xml:space="preserve">. For compliance, where regulatory misinterpretation carries legal risk, this separation is a requirement, not an optimisation.</w:t>
      </w:r>
    </w:p>
    <w:bookmarkEnd w:id="55"/>
    <w:bookmarkStart w:id="56" w:name="autonomy-dial-design-for-compliance"/>
    <w:p>
      <w:pPr>
        <w:pStyle w:val="Heading3"/>
      </w:pPr>
      <w:r>
        <w:t xml:space="preserve">4.3 Autonomy Dial Design for Compliance</w:t>
      </w:r>
    </w:p>
    <w:p>
      <w:pPr>
        <w:pStyle w:val="FirstParagraph"/>
      </w:pPr>
      <w:r>
        <w:t xml:space="preserve">The Autonomy Dial is the</w:t>
      </w:r>
      <w:r>
        <w:t xml:space="preserve"> </w:t>
      </w:r>
      <w:r>
        <w:t xml:space="preserve">“</w:t>
      </w:r>
      <w:r>
        <w:t xml:space="preserve">most transformative pattern</w:t>
      </w:r>
      <w:r>
        <w:t xml:space="preserve">”</w:t>
      </w:r>
      <w:r>
        <w:t xml:space="preserve"> </w:t>
      </w:r>
      <w:r>
        <w:t xml:space="preserve">in agentic UX</w:t>
      </w:r>
      <w:r>
        <w:t xml:space="preserve"> </w:t>
      </w:r>
      <w:fldSimple w:instr="NOTEREF _Ref_Footnote_88 \h \f">
        <w:r>
          <w:rPr>
            <w:vertAlign w:val="superscript"/>
          </w:rPr>
          <w:t>88</w:t>
        </w:r>
      </w:fldSimple>
      <w:r>
        <w:t xml:space="preserve">. Trust is a spectrum, not a binary switch—forcing any single level creates psychological reactance</w:t>
      </w:r>
      <w:r>
        <w:t xml:space="preserve"> </w:t>
      </w:r>
      <w:fldSimple w:instr="NOTEREF _Ref_Footnote_24 \h \f">
        <w:r>
          <w:rPr>
            <w:vertAlign w:val="superscript"/>
          </w:rPr>
          <w:t>24</w:t>
        </w:r>
      </w:fldSimple>
      <w:r>
        <w:t xml:space="preserve">. Evidence is unambiguous: users who experience one failure without an autonomy dial abandon the agent completely rather than dial back permissions</w:t>
      </w:r>
      <w:r>
        <w:t xml:space="preserve"> </w:t>
      </w:r>
      <w:fldSimple w:instr="NOTEREF _Ref_Footnote_24 \h \f">
        <w:r>
          <w:rPr>
            <w:vertAlign w:val="superscript"/>
          </w:rPr>
          <w:t>24</w:t>
        </w:r>
      </w:fldSimple>
      <w:r>
        <w:t xml:space="preserve">.</w:t>
      </w:r>
    </w:p>
    <w:p>
      <w:pPr>
        <w:pStyle w:val="BodyText"/>
      </w:pPr>
      <w:r>
        <w:t xml:space="preserve">The Knight Columbia Institute proposes five autonomy levels</w:t>
      </w:r>
      <w:r>
        <w:t xml:space="preserve"> </w:t>
      </w:r>
      <w:fldSimple w:instr="NOTEREF _Ref_Footnote_91 \h \f">
        <w:r>
          <w:rPr>
            <w:vertAlign w:val="superscript"/>
          </w:rPr>
          <w:t>91</w:t>
        </w:r>
      </w:fldSimple>
      <w:r>
        <w:t xml:space="preserve">: L1 (User as Operator—no action unless invoked), L2 (User as Collaborator—joint planning), L3 (User as Consultant—agent initiates, human feedback), L4 (User as Approver—human for blockers only), and L5 (User as Delegator—full autonomy with exception reporting)</w:t>
      </w:r>
      <w:r>
        <w:t xml:space="preserve"> </w:t>
      </w:r>
      <w:fldSimple w:instr="NOTEREF _Ref_Footnote_91 \h \f">
        <w:r>
          <w:rPr>
            <w:vertAlign w:val="superscript"/>
          </w:rPr>
          <w:t>91</w:t>
        </w:r>
      </w:fldSimple>
      <w:r>
        <w:t xml:space="preserve">.</w:t>
      </w:r>
    </w:p>
    <w:p>
      <w:pPr>
        <w:pStyle w:val="BodyText"/>
      </w:pPr>
      <w:r>
        <w:rPr>
          <w:bCs/>
          <w:b/>
        </w:rPr>
        <w:t xml:space="preserve">Table 4.2: Autonomy Levels for CRP Comply’s Compliance Assistant</w:t>
      </w:r>
    </w:p>
    <w:tbl>
      <w:tblPr>
        <w:tblStyle w:val="Table"/>
        <w:tblW w:type="pct" w:w="5000"/>
        <w:tblLook w:firstRow="1" w:lastRow="0" w:firstColumn="0" w:lastColumn="0" w:noHBand="0" w:noVBand="0" w:val="0020"/>
      </w:tblPr>
      <w:tblGrid>
        <w:gridCol w:w="908"/>
        <w:gridCol w:w="779"/>
        <w:gridCol w:w="2207"/>
        <w:gridCol w:w="1558"/>
        <w:gridCol w:w="2466"/>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Agent Behaviour</w:t>
            </w:r>
          </w:p>
        </w:tc>
        <w:tc>
          <w:tcPr/>
          <w:p>
            <w:pPr>
              <w:pStyle w:val="Compact"/>
              <w:jc w:val="left"/>
            </w:pPr>
            <w:r>
              <w:t xml:space="preserve">Human Role</w:t>
            </w:r>
          </w:p>
        </w:tc>
        <w:tc>
          <w:tcPr/>
          <w:p>
            <w:pPr>
              <w:pStyle w:val="Compact"/>
              <w:jc w:val="left"/>
            </w:pPr>
            <w:r>
              <w:t xml:space="preserve">Trigger Condition</w:t>
            </w:r>
          </w:p>
        </w:tc>
      </w:tr>
      <w:tr>
        <w:tc>
          <w:tcPr/>
          <w:p>
            <w:pPr>
              <w:pStyle w:val="Compact"/>
              <w:jc w:val="left"/>
            </w:pPr>
            <w:r>
              <w:t xml:space="preserve">L1</w:t>
            </w:r>
          </w:p>
        </w:tc>
        <w:tc>
          <w:tcPr/>
          <w:p>
            <w:pPr>
              <w:pStyle w:val="Compact"/>
              <w:jc w:val="left"/>
            </w:pPr>
            <w:r>
              <w:t xml:space="preserve">Suggest Only</w:t>
            </w:r>
          </w:p>
        </w:tc>
        <w:tc>
          <w:tcPr/>
          <w:p>
            <w:pPr>
              <w:pStyle w:val="Compact"/>
              <w:jc w:val="left"/>
            </w:pPr>
            <w:r>
              <w:t xml:space="preserve">Scans regulations; presents structured suggestions</w:t>
            </w:r>
          </w:p>
        </w:tc>
        <w:tc>
          <w:tcPr/>
          <w:p>
            <w:pPr>
              <w:pStyle w:val="Compact"/>
              <w:jc w:val="left"/>
            </w:pPr>
            <w:r>
              <w:t xml:space="preserve">User drafts all content; AI as reference only</w:t>
            </w:r>
          </w:p>
        </w:tc>
        <w:tc>
          <w:tcPr/>
          <w:p>
            <w:pPr>
              <w:pStyle w:val="Compact"/>
              <w:jc w:val="left"/>
            </w:pPr>
            <w:r>
              <w:t xml:space="preserve">New users (0–3 completions); high-risk documents (DPIA, auditor reports)</w:t>
            </w:r>
          </w:p>
        </w:tc>
      </w:tr>
      <w:tr>
        <w:tc>
          <w:tcPr/>
          <w:p>
            <w:pPr>
              <w:pStyle w:val="Compact"/>
              <w:jc w:val="left"/>
            </w:pPr>
            <w:r>
              <w:t xml:space="preserve">L2</w:t>
            </w:r>
          </w:p>
        </w:tc>
        <w:tc>
          <w:tcPr/>
          <w:p>
            <w:pPr>
              <w:pStyle w:val="Compact"/>
              <w:jc w:val="left"/>
            </w:pPr>
            <w:r>
              <w:t xml:space="preserve">Draft for Review</w:t>
            </w:r>
          </w:p>
        </w:tc>
        <w:tc>
          <w:tcPr/>
          <w:p>
            <w:pPr>
              <w:pStyle w:val="Compact"/>
              <w:jc w:val="left"/>
            </w:pPr>
            <w:r>
              <w:t xml:space="preserve">Generates sections; presents each for approval</w:t>
            </w:r>
          </w:p>
        </w:tc>
        <w:tc>
          <w:tcPr/>
          <w:p>
            <w:pPr>
              <w:pStyle w:val="Compact"/>
              <w:jc w:val="left"/>
            </w:pPr>
            <w:r>
              <w:t xml:space="preserve">Review, edit, approve individually</w:t>
            </w:r>
          </w:p>
        </w:tc>
        <w:tc>
          <w:tcPr/>
          <w:p>
            <w:pPr>
              <w:pStyle w:val="Compact"/>
              <w:jc w:val="left"/>
            </w:pPr>
            <w:r>
              <w:t xml:space="preserve">3+ completions; medium-risk documents (Annex IV, policy drafts)</w:t>
            </w:r>
          </w:p>
        </w:tc>
      </w:tr>
      <w:tr>
        <w:tc>
          <w:tcPr/>
          <w:p>
            <w:pPr>
              <w:pStyle w:val="Compact"/>
              <w:jc w:val="left"/>
            </w:pPr>
            <w:r>
              <w:t xml:space="preserve">L3</w:t>
            </w:r>
          </w:p>
        </w:tc>
        <w:tc>
          <w:tcPr/>
          <w:p>
            <w:pPr>
              <w:pStyle w:val="Compact"/>
              <w:jc w:val="left"/>
            </w:pPr>
            <w:r>
              <w:t xml:space="preserve">Autonomous with Checkpoints</w:t>
            </w:r>
          </w:p>
        </w:tc>
        <w:tc>
          <w:tcPr/>
          <w:p>
            <w:pPr>
              <w:pStyle w:val="Compact"/>
              <w:jc w:val="left"/>
            </w:pPr>
            <w:r>
              <w:t xml:space="preserve">Drafts entire document; pauses at section boundaries</w:t>
            </w:r>
          </w:p>
        </w:tc>
        <w:tc>
          <w:tcPr/>
          <w:p>
            <w:pPr>
              <w:pStyle w:val="Compact"/>
              <w:jc w:val="left"/>
            </w:pPr>
            <w:r>
              <w:t xml:space="preserve">Review at checkpoints; can override or edit</w:t>
            </w:r>
          </w:p>
        </w:tc>
        <w:tc>
          <w:tcPr/>
          <w:p>
            <w:pPr>
              <w:pStyle w:val="Compact"/>
              <w:jc w:val="left"/>
            </w:pPr>
            <w:r>
              <w:t xml:space="preserve">10+ completions; low-risk, well-understood document types</w:t>
            </w:r>
          </w:p>
        </w:tc>
      </w:tr>
      <w:tr>
        <w:tc>
          <w:tcPr/>
          <w:p>
            <w:pPr>
              <w:pStyle w:val="Compact"/>
              <w:jc w:val="left"/>
            </w:pPr>
            <w:r>
              <w:t xml:space="preserve">L4</w:t>
            </w:r>
          </w:p>
        </w:tc>
        <w:tc>
          <w:tcPr/>
          <w:p>
            <w:pPr>
              <w:pStyle w:val="Compact"/>
              <w:jc w:val="left"/>
            </w:pPr>
            <w:r>
              <w:t xml:space="preserve">Full Autonomy</w:t>
            </w:r>
          </w:p>
        </w:tc>
        <w:tc>
          <w:tcPr/>
          <w:p>
            <w:pPr>
              <w:pStyle w:val="Compact"/>
              <w:jc w:val="left"/>
            </w:pPr>
            <w:r>
              <w:t xml:space="preserve">Drafts, self-reviews, delivers final document</w:t>
            </w:r>
          </w:p>
        </w:tc>
        <w:tc>
          <w:tcPr/>
          <w:p>
            <w:pPr>
              <w:pStyle w:val="Compact"/>
              <w:jc w:val="left"/>
            </w:pPr>
            <w:r>
              <w:t xml:space="preserve">Exception-based: intervenes only on flags</w:t>
            </w:r>
          </w:p>
        </w:tc>
        <w:tc>
          <w:tcPr/>
          <w:p>
            <w:pPr>
              <w:pStyle w:val="Compact"/>
              <w:jc w:val="left"/>
            </w:pPr>
            <w:r>
              <w:t xml:space="preserve">25+ completions; high-trust users with pattern history</w:t>
            </w:r>
          </w:p>
        </w:tc>
      </w:tr>
    </w:tbl>
    <w:p>
      <w:pPr>
        <w:pStyle w:val="BodyText"/>
      </w:pPr>
      <w:r>
        <w:t xml:space="preserve">The graduation path is critical. New users default to Suggest Only regardless of tier; compliance professionals are risk-averse and must build trust through outcomes before delegating control</w:t>
      </w:r>
      <w:r>
        <w:t xml:space="preserve"> </w:t>
      </w:r>
      <w:fldSimple w:instr="NOTEREF _Ref_Footnote_26 \h \f">
        <w:r>
          <w:rPr>
            <w:vertAlign w:val="superscript"/>
          </w:rPr>
          <w:t>26</w:t>
        </w:r>
      </w:fldSimple>
      <w:r>
        <w:t xml:space="preserve">. Research confirms sandbox preview mode for new users dramatically increases conversion—showing exactly what the agent would do without executing, then graduating after three to five successful confirmations</w:t>
      </w:r>
      <w:r>
        <w:t xml:space="preserve"> </w:t>
      </w:r>
      <w:fldSimple w:instr="NOTEREF _Ref_Footnote_26 \h \f">
        <w:r>
          <w:rPr>
            <w:vertAlign w:val="superscript"/>
          </w:rPr>
          <w:t>26</w:t>
        </w:r>
      </w:fldSimple>
      <w:r>
        <w:t xml:space="preserve"> </w:t>
      </w:r>
      <w:r>
        <w:rPr>
          <w:vertAlign w:val="superscript"/>
        </w:rPr>
        <w:footnoteReference w:id="98"/>
      </w:r>
      <w:r>
        <w:t xml:space="preserve">.</w:t>
      </w:r>
    </w:p>
    <w:p>
      <w:pPr>
        <w:pStyle w:val="BodyText"/>
      </w:pPr>
      <w:r>
        <w:t xml:space="preserve">The mode switch must be one-click, available at any point. Claude Code’s implementation is the benchmark: one keystroke cycles Plan Mode (read-only), Normal Mode (approve one by one), and Auto-Accept Mode (apply without asking)</w:t>
      </w:r>
      <w:r>
        <w:t xml:space="preserve"> </w:t>
      </w:r>
      <w:fldSimple w:instr="NOTEREF _Ref_Footnote_9 \h \f">
        <w:r>
          <w:rPr>
            <w:vertAlign w:val="superscript"/>
          </w:rPr>
          <w:t>9</w:t>
        </w:r>
      </w:fldSimple>
      <w:r>
        <w:t xml:space="preserve">. Boris Cherny, Claude Code’s creator, starts most sessions in Plan Mode and switches to Auto-Accept only after the plan is correct</w:t>
      </w:r>
      <w:r>
        <w:t xml:space="preserve"> </w:t>
      </w:r>
      <w:fldSimple w:instr="NOTEREF _Ref_Footnote_22 \h \f">
        <w:r>
          <w:rPr>
            <w:vertAlign w:val="superscript"/>
          </w:rPr>
          <w:t>22</w:t>
        </w:r>
      </w:fldSimple>
      <w:r>
        <w:t xml:space="preserve">. Start constrained, graduate based on evidence—this is CRP Comply’s default paradigm.</w:t>
      </w:r>
    </w:p>
    <w:bookmarkEnd w:id="56"/>
    <w:bookmarkStart w:id="57" w:name="citation-provenance-display"/>
    <w:p>
      <w:pPr>
        <w:pStyle w:val="Heading3"/>
      </w:pPr>
      <w:r>
        <w:t xml:space="preserve">4.4 Citation &amp; Provenance Display</w:t>
      </w:r>
    </w:p>
    <w:p>
      <w:pPr>
        <w:pStyle w:val="FirstParagraph"/>
      </w:pPr>
      <w:r>
        <w:t xml:space="preserve">In compliance, citation UI is not optional. Trust depends on verifying AI output against primary regulatory sources</w:t>
      </w:r>
      <w:r>
        <w:t xml:space="preserve"> </w:t>
      </w:r>
      <w:r>
        <w:rPr>
          <w:vertAlign w:val="superscript"/>
        </w:rPr>
        <w:footnoteReference w:id="99"/>
      </w:r>
      <w:r>
        <w:t xml:space="preserve">. The risk is material: citations influence perception of AI as authority, but</w:t>
      </w:r>
      <w:r>
        <w:t xml:space="preserve"> </w:t>
      </w:r>
      <w:r>
        <w:t xml:space="preserve">“</w:t>
      </w:r>
      <w:r>
        <w:t xml:space="preserve">this can backfire, since summaries are susceptible to hallucinations or misrepresentations</w:t>
      </w:r>
      <w:r>
        <w:t xml:space="preserve">”</w:t>
      </w:r>
      <w:r>
        <w:t xml:space="preserve"> </w:t>
      </w:r>
      <w:r>
        <w:rPr>
          <w:vertAlign w:val="superscript"/>
        </w:rPr>
        <w:footnoteReference w:id="100"/>
      </w:r>
      <w:r>
        <w:t xml:space="preserve">. The solution is layered verification letting users choose their engagement depth.</w:t>
      </w:r>
    </w:p>
    <w:p>
      <w:pPr>
        <w:pStyle w:val="BodyText"/>
      </w:pPr>
      <w:r>
        <w:t xml:space="preserve">Perplexity’s model is the gold standard</w:t>
      </w:r>
      <w:r>
        <w:t xml:space="preserve"> </w:t>
      </w:r>
      <w:fldSimple w:instr="NOTEREF _Ref_Footnote_94 \h \f">
        <w:r>
          <w:rPr>
            <w:vertAlign w:val="superscript"/>
          </w:rPr>
          <w:t>94</w:t>
        </w:r>
      </w:fldSimple>
      <w:r>
        <w:t xml:space="preserve">: (1)</w:t>
      </w:r>
      <w:r>
        <w:t xml:space="preserve"> </w:t>
      </w:r>
      <w:r>
        <w:rPr>
          <w:bCs/>
          <w:b/>
        </w:rPr>
        <w:t xml:space="preserve">inline regulation chips</w:t>
      </w:r>
      <w:r>
        <w:t xml:space="preserve"> </w:t>
      </w:r>
      <w:r>
        <w:t xml:space="preserve">on each claim; (2)</w:t>
      </w:r>
      <w:r>
        <w:t xml:space="preserve"> </w:t>
      </w:r>
      <w:r>
        <w:rPr>
          <w:bCs/>
          <w:b/>
        </w:rPr>
        <w:t xml:space="preserve">expandable hover cards</w:t>
      </w:r>
      <w:r>
        <w:t xml:space="preserve"> </w:t>
      </w:r>
      <w:r>
        <w:t xml:space="preserve">with full article text and conditions; (3)</w:t>
      </w:r>
      <w:r>
        <w:t xml:space="preserve"> </w:t>
      </w:r>
      <w:r>
        <w:rPr>
          <w:bCs/>
          <w:b/>
        </w:rPr>
        <w:t xml:space="preserve">sources summary row</w:t>
      </w:r>
      <w:r>
        <w:t xml:space="preserve"> </w:t>
      </w:r>
      <w:r>
        <w:t xml:space="preserve">aggregating all citations; (4)</w:t>
      </w:r>
      <w:r>
        <w:t xml:space="preserve"> </w:t>
      </w:r>
      <w:r>
        <w:rPr>
          <w:bCs/>
          <w:b/>
        </w:rPr>
        <w:t xml:space="preserve">Links tab</w:t>
      </w:r>
      <w:r>
        <w:t xml:space="preserve"> </w:t>
      </w:r>
      <w:r>
        <w:t xml:space="preserve">for full audit depth; and (5)</w:t>
      </w:r>
      <w:r>
        <w:t xml:space="preserve"> </w:t>
      </w:r>
      <w:r>
        <w:rPr>
          <w:bCs/>
          <w:b/>
        </w:rPr>
        <w:t xml:space="preserve">“</w:t>
      </w:r>
      <w:r>
        <w:rPr>
          <w:bCs/>
          <w:b/>
        </w:rPr>
        <w:t xml:space="preserve">Check Sources</w:t>
      </w:r>
      <w:r>
        <w:rPr>
          <w:bCs/>
          <w:b/>
        </w:rPr>
        <w:t xml:space="preserve">”</w:t>
      </w:r>
      <w:r>
        <w:rPr>
          <w:bCs/>
          <w:b/>
        </w:rPr>
        <w:t xml:space="preserve"> </w:t>
      </w:r>
      <w:r>
        <w:rPr>
          <w:bCs/>
          <w:b/>
        </w:rPr>
        <w:t xml:space="preserve">on selections</w:t>
      </w:r>
      <w:r>
        <w:t xml:space="preserve"> </w:t>
      </w:r>
      <w:r>
        <w:t xml:space="preserve">for localised verification</w:t>
      </w:r>
      <w:r>
        <w:t xml:space="preserve"> </w:t>
      </w:r>
      <w:fldSimple w:instr="NOTEREF _Ref_Footnote_94 \h \f">
        <w:r>
          <w:rPr>
            <w:vertAlign w:val="superscript"/>
          </w:rPr>
          <w:t>94</w:t>
        </w:r>
      </w:fldSimple>
      <w:r>
        <w:t xml:space="preserve">.</w:t>
      </w:r>
    </w:p>
    <w:p>
      <w:pPr>
        <w:pStyle w:val="BodyText"/>
      </w:pPr>
      <w:r>
        <w:rPr>
          <w:bCs/>
          <w:b/>
        </w:rPr>
        <w:t xml:space="preserve">Table 4.3: Citation Display Patterns—Layer Model for Regulatory Compliance</w:t>
      </w:r>
    </w:p>
    <w:tbl>
      <w:tblPr>
        <w:tblStyle w:val="Table"/>
        <w:tblW w:type="pct" w:w="5000"/>
        <w:tblLook w:firstRow="1" w:lastRow="0" w:firstColumn="0" w:lastColumn="0" w:noHBand="0" w:noVBand="0" w:val="0020"/>
      </w:tblPr>
      <w:tblGrid>
        <w:gridCol w:w="880"/>
        <w:gridCol w:w="1382"/>
        <w:gridCol w:w="1131"/>
        <w:gridCol w:w="2388"/>
        <w:gridCol w:w="2137"/>
      </w:tblGrid>
      <w:tr>
        <w:trPr>
          <w:tblHeader w:val="true"/>
        </w:trPr>
        <w:tc>
          <w:tcPr/>
          <w:p>
            <w:pPr>
              <w:pStyle w:val="Compact"/>
              <w:jc w:val="left"/>
            </w:pPr>
            <w:r>
              <w:t xml:space="preserve">Layer</w:t>
            </w:r>
          </w:p>
        </w:tc>
        <w:tc>
          <w:tcPr/>
          <w:p>
            <w:pPr>
              <w:pStyle w:val="Compact"/>
              <w:jc w:val="left"/>
            </w:pPr>
            <w:r>
              <w:t xml:space="preserve">UI Element</w:t>
            </w:r>
          </w:p>
        </w:tc>
        <w:tc>
          <w:tcPr/>
          <w:p>
            <w:pPr>
              <w:pStyle w:val="Compact"/>
              <w:jc w:val="left"/>
            </w:pPr>
            <w:r>
              <w:t xml:space="preserve">Content</w:t>
            </w:r>
          </w:p>
        </w:tc>
        <w:tc>
          <w:tcPr/>
          <w:p>
            <w:pPr>
              <w:pStyle w:val="Compact"/>
              <w:jc w:val="left"/>
            </w:pPr>
            <w:r>
              <w:t xml:space="preserve">Interaction Model</w:t>
            </w:r>
          </w:p>
        </w:tc>
        <w:tc>
          <w:tcPr/>
          <w:p>
            <w:pPr>
              <w:pStyle w:val="Compact"/>
              <w:jc w:val="left"/>
            </w:pPr>
            <w:r>
              <w:t xml:space="preserve">Design Rationale</w:t>
            </w:r>
          </w:p>
        </w:tc>
      </w:tr>
      <w:tr>
        <w:tc>
          <w:tcPr/>
          <w:p>
            <w:pPr>
              <w:pStyle w:val="Compact"/>
              <w:jc w:val="left"/>
            </w:pPr>
            <w:r>
              <w:t xml:space="preserve">L1: Inline Chip</w:t>
            </w:r>
          </w:p>
        </w:tc>
        <w:tc>
          <w:tcPr/>
          <w:p>
            <w:pPr>
              <w:pStyle w:val="Compact"/>
              <w:jc w:val="left"/>
            </w:pPr>
            <w:r>
              <w:t xml:space="preserve">Superscript badge on claim text</w:t>
            </w:r>
          </w:p>
        </w:tc>
        <w:tc>
          <w:tcPr/>
          <w:p>
            <w:pPr>
              <w:pStyle w:val="Compact"/>
              <w:jc w:val="left"/>
            </w:pPr>
            <w:r>
              <w:t xml:space="preserve">Regulation + article (e.g.,</w:t>
            </w:r>
            <w:r>
              <w:t xml:space="preserve"> </w:t>
            </w:r>
            <w:r>
              <w:t xml:space="preserve">“</w:t>
            </w:r>
            <w:r>
              <w:t xml:space="preserve">EU AI Act Art. 52(1)</w:t>
            </w:r>
            <w:r>
              <w:t xml:space="preserve">”</w:t>
            </w:r>
            <w:r>
              <w:t xml:space="preserve">)</w:t>
            </w:r>
          </w:p>
        </w:tc>
        <w:tc>
          <w:tcPr/>
          <w:p>
            <w:pPr>
              <w:pStyle w:val="Compact"/>
              <w:jc w:val="left"/>
            </w:pPr>
            <w:r>
              <w:t xml:space="preserve">Hover → L2; click → L4</w:t>
            </w:r>
          </w:p>
        </w:tc>
        <w:tc>
          <w:tcPr/>
          <w:p>
            <w:pPr>
              <w:pStyle w:val="Compact"/>
              <w:jc w:val="left"/>
            </w:pPr>
            <w:r>
              <w:t xml:space="preserve">Publisher-first chips beat anonymous footnotes; users scan credibility without clicking</w:t>
            </w:r>
            <w:r>
              <w:t xml:space="preserve"> </w:t>
            </w:r>
            <w:fldSimple w:instr="NOTEREF _Ref_Footnote_94 \h \f">
              <w:r>
                <w:rPr>
                  <w:vertAlign w:val="superscript"/>
                </w:rPr>
                <w:t>94</w:t>
              </w:r>
            </w:fldSimple>
          </w:p>
        </w:tc>
      </w:tr>
      <w:tr>
        <w:tc>
          <w:tcPr/>
          <w:p>
            <w:pPr>
              <w:pStyle w:val="Compact"/>
              <w:jc w:val="left"/>
            </w:pPr>
            <w:r>
              <w:t xml:space="preserve">L2: Hover Card</w:t>
            </w:r>
          </w:p>
        </w:tc>
        <w:tc>
          <w:tcPr/>
          <w:p>
            <w:pPr>
              <w:pStyle w:val="Compact"/>
              <w:jc w:val="left"/>
            </w:pPr>
            <w:r>
              <w:t xml:space="preserve">Floating panel above chip</w:t>
            </w:r>
          </w:p>
        </w:tc>
        <w:tc>
          <w:tcPr/>
          <w:p>
            <w:pPr>
              <w:pStyle w:val="Compact"/>
              <w:jc w:val="left"/>
            </w:pPr>
            <w:r>
              <w:t xml:space="preserve">Full article text, effective date, applicability, amendments</w:t>
            </w:r>
          </w:p>
        </w:tc>
        <w:tc>
          <w:tcPr/>
          <w:p>
            <w:pPr>
              <w:pStyle w:val="Compact"/>
              <w:jc w:val="left"/>
            </w:pPr>
            <w:r>
              <w:t xml:space="preserve">Click-through to regulation;</w:t>
            </w:r>
            <w:r>
              <w:t xml:space="preserve"> </w:t>
            </w:r>
            <w:r>
              <w:t xml:space="preserve">“</w:t>
            </w:r>
            <w:r>
              <w:t xml:space="preserve">Copy citation</w:t>
            </w:r>
            <w:r>
              <w:t xml:space="preserve">”</w:t>
            </w:r>
          </w:p>
        </w:tc>
        <w:tc>
          <w:tcPr/>
          <w:p>
            <w:pPr>
              <w:pStyle w:val="Compact"/>
              <w:jc w:val="left"/>
            </w:pPr>
            <w:r>
              <w:t xml:space="preserve">Standard production UI pattern</w:t>
            </w:r>
            <w:r>
              <w:t xml:space="preserve"> </w:t>
            </w:r>
            <w:fldSimple w:instr="NOTEREF _Ref_Footnote_5 \h \f">
              <w:r>
                <w:rPr>
                  <w:vertAlign w:val="superscript"/>
                </w:rPr>
                <w:t>5</w:t>
              </w:r>
            </w:fldSimple>
          </w:p>
        </w:tc>
      </w:tr>
      <w:tr>
        <w:tc>
          <w:tcPr/>
          <w:p>
            <w:pPr>
              <w:pStyle w:val="Compact"/>
              <w:jc w:val="left"/>
            </w:pPr>
            <w:r>
              <w:t xml:space="preserve">L3: Sources Summary</w:t>
            </w:r>
          </w:p>
        </w:tc>
        <w:tc>
          <w:tcPr/>
          <w:p>
            <w:pPr>
              <w:pStyle w:val="Compact"/>
              <w:jc w:val="left"/>
            </w:pPr>
            <w:r>
              <w:t xml:space="preserve">Aggregated row below response</w:t>
            </w:r>
          </w:p>
        </w:tc>
        <w:tc>
          <w:tcPr/>
          <w:p>
            <w:pPr>
              <w:pStyle w:val="Compact"/>
              <w:jc w:val="left"/>
            </w:pPr>
            <w:r>
              <w:t xml:space="preserve">All cited regulations with recency and quality indicators</w:t>
            </w:r>
          </w:p>
        </w:tc>
        <w:tc>
          <w:tcPr/>
          <w:p>
            <w:pPr>
              <w:pStyle w:val="Compact"/>
              <w:jc w:val="left"/>
            </w:pPr>
            <w:r>
              <w:t xml:space="preserve">Click → L4;</w:t>
            </w:r>
            <w:r>
              <w:t xml:space="preserve"> </w:t>
            </w:r>
            <w:r>
              <w:t xml:space="preserve">“</w:t>
            </w:r>
            <w:r>
              <w:t xml:space="preserve">Export citations</w:t>
            </w:r>
            <w:r>
              <w:t xml:space="preserve">”</w:t>
            </w:r>
          </w:p>
        </w:tc>
        <w:tc>
          <w:tcPr/>
          <w:p>
            <w:pPr>
              <w:pStyle w:val="Compact"/>
              <w:jc w:val="left"/>
            </w:pPr>
            <w:r>
              <w:t xml:space="preserve">Links tab gives audit depth without breaking conversational flow</w:t>
            </w:r>
            <w:r>
              <w:t xml:space="preserve"> </w:t>
            </w:r>
            <w:fldSimple w:instr="NOTEREF _Ref_Footnote_94 \h \f">
              <w:r>
                <w:rPr>
                  <w:vertAlign w:val="superscript"/>
                </w:rPr>
                <w:t>94</w:t>
              </w:r>
            </w:fldSimple>
          </w:p>
        </w:tc>
      </w:tr>
      <w:tr>
        <w:tc>
          <w:tcPr/>
          <w:p>
            <w:pPr>
              <w:pStyle w:val="Compact"/>
              <w:jc w:val="left"/>
            </w:pPr>
            <w:r>
              <w:t xml:space="preserve">L4: Audit Panel</w:t>
            </w:r>
          </w:p>
        </w:tc>
        <w:tc>
          <w:tcPr/>
          <w:p>
            <w:pPr>
              <w:pStyle w:val="Compact"/>
              <w:jc w:val="left"/>
            </w:pPr>
            <w:r>
              <w:t xml:space="preserve">Dedicated side panel/tab</w:t>
            </w:r>
          </w:p>
        </w:tc>
        <w:tc>
          <w:tcPr/>
          <w:p>
            <w:pPr>
              <w:pStyle w:val="Compact"/>
              <w:jc w:val="left"/>
            </w:pPr>
            <w:r>
              <w:t xml:space="preserve">Full regulation with highlighted passage; related guidance; cross-references</w:t>
            </w:r>
          </w:p>
        </w:tc>
        <w:tc>
          <w:tcPr/>
          <w:p>
            <w:pPr>
              <w:pStyle w:val="Compact"/>
              <w:jc w:val="left"/>
            </w:pPr>
            <w:r>
              <w:t xml:space="preserve">Selection-based</w:t>
            </w:r>
            <w:r>
              <w:t xml:space="preserve"> </w:t>
            </w:r>
            <w:r>
              <w:t xml:space="preserve">“</w:t>
            </w:r>
            <w:r>
              <w:t xml:space="preserve">Check Sources</w:t>
            </w:r>
            <w:r>
              <w:t xml:space="preserve">”</w:t>
            </w:r>
            <w:r>
              <w:t xml:space="preserve"> </w:t>
            </w:r>
            <w:fldSimple w:instr="NOTEREF _Ref_Footnote_94 \h \f">
              <w:r>
                <w:rPr>
                  <w:vertAlign w:val="superscript"/>
                </w:rPr>
                <w:t>94</w:t>
              </w:r>
            </w:fldSimple>
            <w:r>
              <w:t xml:space="preserve">; source feedback (</w:t>
            </w:r>
            <w:r>
              <w:t xml:space="preserve">“</w:t>
            </w:r>
            <w:r>
              <w:t xml:space="preserve">wrong source</w:t>
            </w:r>
            <w:r>
              <w:t xml:space="preserve">”</w:t>
            </w:r>
            <w:r>
              <w:t xml:space="preserve">,</w:t>
            </w:r>
            <w:r>
              <w:t xml:space="preserve"> </w:t>
            </w:r>
            <w:r>
              <w:t xml:space="preserve">“</w:t>
            </w:r>
            <w:r>
              <w:t xml:space="preserve">misinterpreted</w:t>
            </w:r>
            <w:r>
              <w:t xml:space="preserve">”</w:t>
            </w:r>
            <w:r>
              <w:t xml:space="preserve">)</w:t>
            </w:r>
          </w:p>
        </w:tc>
        <w:tc>
          <w:tcPr/>
          <w:p>
            <w:pPr>
              <w:pStyle w:val="Compact"/>
              <w:jc w:val="left"/>
            </w:pPr>
            <w:r>
              <w:t xml:space="preserve">Distinguish source types: codified law vs. official guidance vs. CRP analysis</w:t>
            </w:r>
            <w:r>
              <w:t xml:space="preserve"> </w:t>
            </w:r>
            <w:r>
              <w:rPr>
                <w:vertAlign w:val="superscript"/>
              </w:rPr>
              <w:footnoteReference w:id="101"/>
            </w:r>
          </w:p>
        </w:tc>
      </w:tr>
    </w:tbl>
    <w:p>
      <w:pPr>
        <w:pStyle w:val="BodyText"/>
      </w:pPr>
      <w:r>
        <w:t xml:space="preserve">For compliance, regulation chips replace domain chips. Where Perplexity shows</w:t>
      </w:r>
      <w:r>
        <w:t xml:space="preserve"> </w:t>
      </w:r>
      <w:r>
        <w:t xml:space="preserve">“</w:t>
      </w:r>
      <w:r>
        <w:t xml:space="preserve">europa.eu,</w:t>
      </w:r>
      <w:r>
        <w:t xml:space="preserve">”</w:t>
      </w:r>
      <w:r>
        <w:t xml:space="preserve"> </w:t>
      </w:r>
      <w:r>
        <w:t xml:space="preserve">CRP Comply shows</w:t>
      </w:r>
      <w:r>
        <w:t xml:space="preserve"> </w:t>
      </w:r>
      <w:r>
        <w:t xml:space="preserve">“</w:t>
      </w:r>
      <w:r>
        <w:t xml:space="preserve">EU AI Act Art. 52(1)</w:t>
      </w:r>
      <w:r>
        <w:t xml:space="preserve">”</w:t>
      </w:r>
      <w:r>
        <w:t xml:space="preserve">—immediately communicating legal basis. shadcn.io now ships a production React component for inline AI citations with carousel support for multiple sources, confirming this pattern is standardised infrastructure</w:t>
      </w:r>
      <w:r>
        <w:t xml:space="preserve"> </w:t>
      </w:r>
      <w:fldSimple w:instr="NOTEREF _Ref_Footnote_5 \h \f">
        <w:r>
          <w:rPr>
            <w:vertAlign w:val="superscript"/>
          </w:rPr>
          <w:t>5</w:t>
        </w:r>
      </w:fldSimple>
      <w:r>
        <w:t xml:space="preserve">.</w:t>
      </w:r>
    </w:p>
    <w:bookmarkEnd w:id="57"/>
    <w:bookmarkStart w:id="58" w:name="streaming-text-tool-calling-ux"/>
    <w:p>
      <w:pPr>
        <w:pStyle w:val="Heading3"/>
      </w:pPr>
      <w:r>
        <w:t xml:space="preserve">4.5 Streaming Text &amp; Tool Calling UX</w:t>
      </w:r>
    </w:p>
    <w:p>
      <w:pPr>
        <w:pStyle w:val="FirstParagraph"/>
      </w:pPr>
      <w:r>
        <w:t xml:space="preserve">The Silence Problem is the biggest trust destroyer in AI interaction</w:t>
      </w:r>
      <w:r>
        <w:t xml:space="preserve"> </w:t>
      </w:r>
      <w:fldSimple w:instr="NOTEREF _Ref_Footnote_99 \h \f">
        <w:r>
          <w:rPr>
            <w:vertAlign w:val="superscript"/>
          </w:rPr>
          <w:t>99</w:t>
        </w:r>
      </w:fldSimple>
      <w:r>
        <w:t xml:space="preserve"> </w:t>
      </w:r>
      <w:r>
        <w:rPr>
          <w:vertAlign w:val="superscript"/>
        </w:rPr>
        <w:footnoteReference w:id="102"/>
      </w:r>
      <w:r>
        <w:t xml:space="preserve">. Users interpret silence as failure. Streaming text transforms a black-box wait into visible reasoning that builds trust incrementally</w:t>
      </w:r>
      <w:r>
        <w:t xml:space="preserve"> </w:t>
      </w:r>
      <w:r>
        <w:rPr>
          <w:vertAlign w:val="superscript"/>
        </w:rPr>
        <w:footnoteReference w:id="103"/>
      </w:r>
      <w:r>
        <w:t xml:space="preserve"> </w:t>
      </w:r>
      <w:r>
        <w:rPr>
          <w:vertAlign w:val="superscript"/>
        </w:rPr>
        <w:footnoteReference w:id="104"/>
      </w:r>
      <w:r>
        <w:t xml:space="preserve">. For compliance generation, where output may take minutes, streaming is a trust requirement, not a performance optimisation.</w:t>
      </w:r>
    </w:p>
    <w:p>
      <w:pPr>
        <w:pStyle w:val="BodyText"/>
      </w:pPr>
      <w:r>
        <w:t xml:space="preserve">Three response patterns dominate: typing indicators (&lt;3 s), token-by-token streaming (default), and status phases (complex tasks)</w:t>
      </w:r>
      <w:r>
        <w:t xml:space="preserve"> </w:t>
      </w:r>
      <w:r>
        <w:rPr>
          <w:vertAlign w:val="superscript"/>
        </w:rPr>
        <w:footnoteReference w:id="105"/>
      </w:r>
      <w:r>
        <w:t xml:space="preserve">. CRP Comply implements all three: a brief typing indicator covers initial latency; streaming renders tokens as generated with a blinking cursor (▊) signalling more is coming</w:t>
      </w:r>
      <w:r>
        <w:t xml:space="preserve"> </w:t>
      </w:r>
      <w:fldSimple w:instr="NOTEREF _Ref_Footnote_105 \h \f">
        <w:r>
          <w:rPr>
            <w:vertAlign w:val="superscript"/>
          </w:rPr>
          <w:t>105</w:t>
        </w:r>
      </w:fldSimple>
      <w:r>
        <w:t xml:space="preserve">; for complex documents, the stream segments into phases:</w:t>
      </w:r>
      <w:r>
        <w:t xml:space="preserve"> </w:t>
      </w:r>
      <w:r>
        <w:t xml:space="preserve">“</w:t>
      </w:r>
      <w:r>
        <w:t xml:space="preserve">Checking EU AI Act Art. 6(2)…</w:t>
      </w:r>
      <w:r>
        <w:t xml:space="preserve">”</w:t>
      </w:r>
      <w:r>
        <w:t xml:space="preserve"> </w:t>
      </w:r>
      <w:r>
        <w:t xml:space="preserve">→</w:t>
      </w:r>
      <w:r>
        <w:t xml:space="preserve"> </w:t>
      </w:r>
      <w:r>
        <w:t xml:space="preserve">“</w:t>
      </w:r>
      <w:r>
        <w:t xml:space="preserve">Mapping to Annex III(1)…</w:t>
      </w:r>
      <w:r>
        <w:t xml:space="preserve">”</w:t>
      </w:r>
      <w:r>
        <w:t xml:space="preserve"> </w:t>
      </w:r>
      <w:r>
        <w:t xml:space="preserve">→</w:t>
      </w:r>
      <w:r>
        <w:t xml:space="preserve"> </w:t>
      </w:r>
      <w:r>
        <w:t xml:space="preserve">“</w:t>
      </w:r>
      <w:r>
        <w:t xml:space="preserve">Drafting Section 4…</w:t>
      </w:r>
      <w:r>
        <w:t xml:space="preserve">”</w:t>
      </w:r>
      <w:r>
        <w:t xml:space="preserve"> </w:t>
      </w:r>
      <w:r>
        <w:t xml:space="preserve">Each phase tells the user what progress is occurring and against which regulatory source.</w:t>
      </w:r>
    </w:p>
    <w:p>
      <w:pPr>
        <w:pStyle w:val="BodyText"/>
      </w:pPr>
      <w:r>
        <w:t xml:space="preserve">Research confirms</w:t>
      </w:r>
      <w:r>
        <w:t xml:space="preserve"> </w:t>
      </w:r>
      <w:r>
        <w:t xml:space="preserve">“</w:t>
      </w:r>
      <w:r>
        <w:t xml:space="preserve">more transparency is not always better</w:t>
      </w:r>
      <w:r>
        <w:t xml:space="preserve">”</w:t>
      </w:r>
      <w:r>
        <w:t xml:space="preserve"> </w:t>
      </w:r>
      <w:r>
        <w:rPr>
          <w:vertAlign w:val="superscript"/>
        </w:rPr>
        <w:footnoteReference w:id="106"/>
      </w:r>
      <w:r>
        <w:t xml:space="preserve">. The goal is calibrated trust, not maximum disclosure. The</w:t>
      </w:r>
      <w:r>
        <w:t xml:space="preserve"> </w:t>
      </w:r>
      <w:r>
        <w:t xml:space="preserve">“</w:t>
      </w:r>
      <w:r>
        <w:t xml:space="preserve">elevator mirror effect</w:t>
      </w:r>
      <w:r>
        <w:t xml:space="preserve">”</w:t>
      </w:r>
      <w:r>
        <w:t xml:space="preserve"> </w:t>
      </w:r>
      <w:r>
        <w:t xml:space="preserve">applies: well-designed progress indicators reduce perceived wait time, just as mirrors in elevators make waits feel shorter</w:t>
      </w:r>
      <w:r>
        <w:t xml:space="preserve"> </w:t>
      </w:r>
      <w:fldSimple w:instr="NOTEREF _Ref_Footnote_106 \h \f">
        <w:r>
          <w:rPr>
            <w:vertAlign w:val="superscript"/>
          </w:rPr>
          <w:t>106</w:t>
        </w:r>
      </w:fldSimple>
      <w:r>
        <w:t xml:space="preserve">. Streaming with markdown, code blocks, and thinking indicators is now production-standard—GetStream’s library provides</w:t>
      </w:r>
      <w:r>
        <w:t xml:space="preserve"> </w:t>
      </w:r>
      <w:r>
        <w:rPr>
          <w:rStyle w:val="VerbatimChar"/>
        </w:rPr>
        <w:t xml:space="preserve">StreamingText</w:t>
      </w:r>
      <w:r>
        <w:t xml:space="preserve"> </w:t>
      </w:r>
      <w:r>
        <w:t xml:space="preserve">composables with smooth word-by-word animation</w:t>
      </w:r>
      <w:r>
        <w:t xml:space="preserve"> </w:t>
      </w:r>
      <w:r>
        <w:rPr>
          <w:vertAlign w:val="superscript"/>
        </w:rPr>
        <w:footnoteReference w:id="107"/>
      </w:r>
      <w:r>
        <w:t xml:space="preserve">.</w:t>
      </w:r>
    </w:p>
    <w:p>
      <w:pPr>
        <w:pStyle w:val="BodyText"/>
      </w:pPr>
      <w:r>
        <w:t xml:space="preserve">Tool calling transparency complements streaming. When the model invokes tools—searching regulations, loading templates, scanning evidence—the user must see which tool is active</w:t>
      </w:r>
      <w:r>
        <w:t xml:space="preserve"> </w:t>
      </w:r>
      <w:r>
        <w:rPr>
          <w:vertAlign w:val="superscript"/>
        </w:rPr>
        <w:footnoteReference w:id="108"/>
      </w:r>
      <w:r>
        <w:t xml:space="preserve">. Vercel’s AI SDK pauses the stream during tool calls, but the default UI shows nothing, making users think the system is frozen</w:t>
      </w:r>
      <w:r>
        <w:t xml:space="preserve"> </w:t>
      </w:r>
      <w:fldSimple w:instr="NOTEREF _Ref_Footnote_108 \h \f">
        <w:r>
          <w:rPr>
            <w:vertAlign w:val="superscript"/>
          </w:rPr>
          <w:t>108</w:t>
        </w:r>
      </w:fldSimple>
      <w:r>
        <w:t xml:space="preserve">. The fix is explicit invocation states:</w:t>
      </w:r>
      <w:r>
        <w:t xml:space="preserve"> </w:t>
      </w:r>
      <w:r>
        <w:t xml:space="preserve">“</w:t>
      </w:r>
      <w:r>
        <w:t xml:space="preserve">Scanning regulation database [RegLookup]…</w:t>
      </w:r>
      <w:r>
        <w:t xml:space="preserve">”</w:t>
      </w:r>
      <w:r>
        <w:t xml:space="preserve"> </w:t>
      </w:r>
      <w:r>
        <w:t xml:space="preserve">→</w:t>
      </w:r>
      <w:r>
        <w:t xml:space="preserve"> </w:t>
      </w:r>
      <w:r>
        <w:t xml:space="preserve">“</w:t>
      </w:r>
      <w:r>
        <w:t xml:space="preserve">Loading Annex IV template [TemplateFill]…</w:t>
      </w:r>
      <w:r>
        <w:t xml:space="preserve">”</w:t>
      </w:r>
      <w:r>
        <w:t xml:space="preserve"> </w:t>
      </w:r>
      <w:r>
        <w:t xml:space="preserve">→</w:t>
      </w:r>
      <w:r>
        <w:t xml:space="preserve"> </w:t>
      </w:r>
      <w:r>
        <w:t xml:space="preserve">“</w:t>
      </w:r>
      <w:r>
        <w:t xml:space="preserve">Evidence scan complete: 4 sources [EvidenceScan].</w:t>
      </w:r>
      <w:r>
        <w:t xml:space="preserve">”</w:t>
      </w:r>
      <w:r>
        <w:t xml:space="preserve"> </w:t>
      </w:r>
      <w:r>
        <w:t xml:space="preserve">Replit’s action ledger provides the model—each turn annotated with action counts and icon hints, letting users scan what happened before the run ends</w:t>
      </w:r>
      <w:r>
        <w:t xml:space="preserve"> </w:t>
      </w:r>
      <w:fldSimple w:instr="NOTEREF _Ref_Footnote_89 \h \f">
        <w:r>
          <w:rPr>
            <w:vertAlign w:val="superscript"/>
          </w:rPr>
          <w:t>89</w:t>
        </w:r>
      </w:fldSimple>
      <w:r>
        <w:t xml:space="preserve">.</w:t>
      </w:r>
    </w:p>
    <w:p>
      <w:pPr>
        <w:pStyle w:val="BodyText"/>
      </w:pPr>
      <w:r>
        <w:t xml:space="preserve">Confidence labels complete the architecture. In compliance, raw percentages are actively harmful—a</w:t>
      </w:r>
      <w:r>
        <w:t xml:space="preserve"> </w:t>
      </w:r>
      <w:r>
        <w:t xml:space="preserve">“</w:t>
      </w:r>
      <w:r>
        <w:t xml:space="preserve">92%</w:t>
      </w:r>
      <w:r>
        <w:t xml:space="preserve">”</w:t>
      </w:r>
      <w:r>
        <w:t xml:space="preserve"> </w:t>
      </w:r>
      <w:r>
        <w:t xml:space="preserve">without real calibration</w:t>
      </w:r>
      <w:r>
        <w:t xml:space="preserve"> </w:t>
      </w:r>
      <w:r>
        <w:t xml:space="preserve">“</w:t>
      </w:r>
      <w:r>
        <w:t xml:space="preserve">reads as rigor but is theatre, and it is worse than showing nothing</w:t>
      </w:r>
      <w:r>
        <w:t xml:space="preserve">”</w:t>
      </w:r>
      <w:r>
        <w:t xml:space="preserve"> </w:t>
      </w:r>
      <w:r>
        <w:rPr>
          <w:vertAlign w:val="superscript"/>
        </w:rPr>
        <w:footnoteReference w:id="109"/>
      </w:r>
      <w:r>
        <w:t xml:space="preserve">. Nielsen Norman Group (2023) found users trusted qualitative labels (</w:t>
      </w:r>
      <w:r>
        <w:t xml:space="preserve">“</w:t>
      </w:r>
      <w:r>
        <w:t xml:space="preserve">Very Likely</w:t>
      </w:r>
      <w:r>
        <w:t xml:space="preserve">”</w:t>
      </w:r>
      <w:r>
        <w:t xml:space="preserve">) more than technical scores (</w:t>
      </w:r>
      <w:r>
        <w:t xml:space="preserve">“</w:t>
      </w:r>
      <w:r>
        <w:t xml:space="preserve">87% confident</w:t>
      </w:r>
      <w:r>
        <w:t xml:space="preserve">”</w:t>
      </w:r>
      <w:r>
        <w:t xml:space="preserve">)</w:t>
      </w:r>
      <w:r>
        <w:t xml:space="preserve"> </w:t>
      </w:r>
      <w:fldSimple w:instr="NOTEREF _Ref_Footnote_92 \h \f">
        <w:r>
          <w:rPr>
            <w:vertAlign w:val="superscript"/>
          </w:rPr>
          <w:t>92</w:t>
        </w:r>
      </w:fldSimple>
      <w:r>
        <w:t xml:space="preserve">.</w:t>
      </w:r>
    </w:p>
    <w:p>
      <w:pPr>
        <w:pStyle w:val="BodyText"/>
      </w:pPr>
      <w:r>
        <w:rPr>
          <w:bCs/>
          <w:b/>
        </w:rPr>
        <w:t xml:space="preserve">Table 4.4: Confidence Label System for Regulatory Compliance</w:t>
      </w:r>
    </w:p>
    <w:tbl>
      <w:tblPr>
        <w:tblStyle w:val="Table"/>
        <w:tblW w:type="pct" w:w="5000"/>
        <w:tblLook w:firstRow="1" w:lastRow="0" w:firstColumn="0" w:lastColumn="0" w:noHBand="0" w:noVBand="0" w:val="0020"/>
      </w:tblPr>
      <w:tblGrid>
        <w:gridCol w:w="749"/>
        <w:gridCol w:w="1819"/>
        <w:gridCol w:w="2140"/>
        <w:gridCol w:w="963"/>
        <w:gridCol w:w="2247"/>
      </w:tblGrid>
      <w:tr>
        <w:trPr>
          <w:tblHeader w:val="true"/>
        </w:trPr>
        <w:tc>
          <w:tcPr/>
          <w:p>
            <w:pPr>
              <w:pStyle w:val="Compact"/>
              <w:jc w:val="left"/>
            </w:pPr>
            <w:r>
              <w:t xml:space="preserve">Label</w:t>
            </w:r>
          </w:p>
        </w:tc>
        <w:tc>
          <w:tcPr/>
          <w:p>
            <w:pPr>
              <w:pStyle w:val="Compact"/>
              <w:jc w:val="left"/>
            </w:pPr>
            <w:r>
              <w:t xml:space="preserve">Visual Indicator</w:t>
            </w:r>
          </w:p>
        </w:tc>
        <w:tc>
          <w:tcPr/>
          <w:p>
            <w:pPr>
              <w:pStyle w:val="Compact"/>
              <w:jc w:val="left"/>
            </w:pPr>
            <w:r>
              <w:t xml:space="preserve">Regulatory Meaning</w:t>
            </w:r>
          </w:p>
        </w:tc>
        <w:tc>
          <w:tcPr/>
          <w:p>
            <w:pPr>
              <w:pStyle w:val="Compact"/>
              <w:jc w:val="left"/>
            </w:pPr>
            <w:r>
              <w:t xml:space="preserve">Example</w:t>
            </w:r>
          </w:p>
        </w:tc>
        <w:tc>
          <w:tcPr/>
          <w:p>
            <w:pPr>
              <w:pStyle w:val="Compact"/>
              <w:jc w:val="left"/>
            </w:pPr>
            <w:r>
              <w:t xml:space="preserve">User Action Required</w:t>
            </w:r>
          </w:p>
        </w:tc>
      </w:tr>
      <w:tr>
        <w:tc>
          <w:tcPr/>
          <w:p>
            <w:pPr>
              <w:pStyle w:val="Compact"/>
              <w:jc w:val="left"/>
            </w:pPr>
            <w:r>
              <w:t xml:space="preserve">Well-Established Requirement</w:t>
            </w:r>
          </w:p>
        </w:tc>
        <w:tc>
          <w:tcPr/>
          <w:p>
            <w:pPr>
              <w:pStyle w:val="Compact"/>
              <w:jc w:val="left"/>
            </w:pPr>
            <w:r>
              <w:t xml:space="preserve">Solid green</w:t>
            </w:r>
          </w:p>
        </w:tc>
        <w:tc>
          <w:tcPr/>
          <w:p>
            <w:pPr>
              <w:pStyle w:val="Compact"/>
              <w:jc w:val="left"/>
            </w:pPr>
            <w:r>
              <w:t xml:space="preserve">Codified in enacted law with clear text</w:t>
            </w:r>
          </w:p>
        </w:tc>
        <w:tc>
          <w:tcPr/>
          <w:p>
            <w:pPr>
              <w:pStyle w:val="Compact"/>
              <w:jc w:val="left"/>
            </w:pPr>
            <w:r>
              <w:t xml:space="preserve">“</w:t>
            </w:r>
            <w:r>
              <w:t xml:space="preserve">This obligation derives from EU AI Act Article 5(1), enacted August 2024</w:t>
            </w:r>
            <w:r>
              <w:t xml:space="preserve">”</w:t>
            </w:r>
          </w:p>
        </w:tc>
        <w:tc>
          <w:tcPr/>
          <w:p>
            <w:pPr>
              <w:pStyle w:val="Compact"/>
              <w:jc w:val="left"/>
            </w:pPr>
            <w:r>
              <w:t xml:space="preserve">None; auto-proceed</w:t>
            </w:r>
          </w:p>
        </w:tc>
      </w:tr>
      <w:tr>
        <w:tc>
          <w:tcPr/>
          <w:p>
            <w:pPr>
              <w:pStyle w:val="Compact"/>
              <w:jc w:val="left"/>
            </w:pPr>
            <w:r>
              <w:t xml:space="preserve">Established Guidance</w:t>
            </w:r>
          </w:p>
        </w:tc>
        <w:tc>
          <w:tcPr/>
          <w:p>
            <w:pPr>
              <w:pStyle w:val="Compact"/>
              <w:jc w:val="left"/>
            </w:pPr>
            <w:r>
              <w:t xml:space="preserve">Solid blue</w:t>
            </w:r>
          </w:p>
        </w:tc>
        <w:tc>
          <w:tcPr/>
          <w:p>
            <w:pPr>
              <w:pStyle w:val="Compact"/>
              <w:jc w:val="left"/>
            </w:pPr>
            <w:r>
              <w:t xml:space="preserve">Official guidance from regulatory body</w:t>
            </w:r>
          </w:p>
        </w:tc>
        <w:tc>
          <w:tcPr/>
          <w:p>
            <w:pPr>
              <w:pStyle w:val="Compact"/>
              <w:jc w:val="left"/>
            </w:pPr>
            <w:r>
              <w:t xml:space="preserve">“</w:t>
            </w:r>
            <w:r>
              <w:t xml:space="preserve">This follows EDPB Guidelines 1/2023 on automated decision-making</w:t>
            </w:r>
            <w:r>
              <w:t xml:space="preserve">”</w:t>
            </w:r>
          </w:p>
        </w:tc>
        <w:tc>
          <w:tcPr/>
          <w:p>
            <w:pPr>
              <w:pStyle w:val="Compact"/>
              <w:jc w:val="left"/>
            </w:pPr>
            <w:r>
              <w:t xml:space="preserve">Review recommended; one-click override</w:t>
            </w:r>
          </w:p>
        </w:tc>
      </w:tr>
      <w:tr>
        <w:tc>
          <w:tcPr/>
          <w:p>
            <w:pPr>
              <w:pStyle w:val="Compact"/>
              <w:jc w:val="left"/>
            </w:pPr>
            <w:r>
              <w:t xml:space="preserve">Emerging Guidance</w:t>
            </w:r>
          </w:p>
        </w:tc>
        <w:tc>
          <w:tcPr/>
          <w:p>
            <w:pPr>
              <w:pStyle w:val="Compact"/>
              <w:jc w:val="left"/>
            </w:pPr>
            <w:r>
              <w:t xml:space="preserve">Amber outline</w:t>
            </w:r>
          </w:p>
        </w:tc>
        <w:tc>
          <w:tcPr/>
          <w:p>
            <w:pPr>
              <w:pStyle w:val="Compact"/>
              <w:jc w:val="left"/>
            </w:pPr>
            <w:r>
              <w:t xml:space="preserve">Recent guidance not yet widely tested</w:t>
            </w:r>
          </w:p>
        </w:tc>
        <w:tc>
          <w:tcPr/>
          <w:p>
            <w:pPr>
              <w:pStyle w:val="Compact"/>
              <w:jc w:val="left"/>
            </w:pPr>
            <w:r>
              <w:t xml:space="preserve">“</w:t>
            </w:r>
            <w:r>
              <w:t xml:space="preserve">This reflects EU Commission April 2026 guidance; limited enforcement precedent</w:t>
            </w:r>
            <w:r>
              <w:t xml:space="preserve">”</w:t>
            </w:r>
          </w:p>
        </w:tc>
        <w:tc>
          <w:tcPr/>
          <w:p>
            <w:pPr>
              <w:pStyle w:val="Compact"/>
              <w:jc w:val="left"/>
            </w:pPr>
            <w:r>
              <w:t xml:space="preserve">Explicit confirmation required before formal inclusion</w:t>
            </w:r>
          </w:p>
        </w:tc>
      </w:tr>
      <w:tr>
        <w:tc>
          <w:tcPr/>
          <w:p>
            <w:pPr>
              <w:pStyle w:val="Compact"/>
              <w:jc w:val="left"/>
            </w:pPr>
            <w:r>
              <w:t xml:space="preserve">Interpretive</w:t>
            </w:r>
          </w:p>
        </w:tc>
        <w:tc>
          <w:tcPr/>
          <w:p>
            <w:pPr>
              <w:pStyle w:val="Compact"/>
              <w:jc w:val="left"/>
            </w:pPr>
            <w:r>
              <w:t xml:space="preserve">Dashed border, grey</w:t>
            </w:r>
          </w:p>
        </w:tc>
        <w:tc>
          <w:tcPr/>
          <w:p>
            <w:pPr>
              <w:pStyle w:val="Compact"/>
              <w:jc w:val="left"/>
            </w:pPr>
            <w:r>
              <w:t xml:space="preserve">CRP analysis based on regulatory trends</w:t>
            </w:r>
          </w:p>
        </w:tc>
        <w:tc>
          <w:tcPr/>
          <w:p>
            <w:pPr>
              <w:pStyle w:val="Compact"/>
              <w:jc w:val="left"/>
            </w:pPr>
            <w:r>
              <w:t xml:space="preserve">“</w:t>
            </w:r>
            <w:r>
              <w:t xml:space="preserve">This assessment is based on CRP’s analysis of emerging patterns; expert review advised</w:t>
            </w:r>
            <w:r>
              <w:t xml:space="preserve">”</w:t>
            </w:r>
          </w:p>
        </w:tc>
        <w:tc>
          <w:tcPr/>
          <w:p>
            <w:pPr>
              <w:pStyle w:val="Compact"/>
              <w:jc w:val="left"/>
            </w:pPr>
            <w:r>
              <w:t xml:space="preserve">Mandatory legal team sign-off</w:t>
            </w:r>
          </w:p>
        </w:tc>
      </w:tr>
    </w:tbl>
    <w:p>
      <w:pPr>
        <w:pStyle w:val="BodyText"/>
      </w:pPr>
      <w:r>
        <w:t xml:space="preserve">This four-tier system replaces numeric scores with regulatory maturity indicators. Cloudflare’s Application Confidence Score provides precedent: a 5-point rubric weighting training data control at 2 of 5 points because</w:t>
      </w:r>
      <w:r>
        <w:t xml:space="preserve"> </w:t>
      </w:r>
      <w:r>
        <w:t xml:space="preserve">“</w:t>
      </w:r>
      <w:r>
        <w:t xml:space="preserve">control over training data is central to preventing unintended data exposure</w:t>
      </w:r>
      <w:r>
        <w:t xml:space="preserve">”</w:t>
      </w:r>
      <w:r>
        <w:t xml:space="preserve"> </w:t>
      </w:r>
      <w:r>
        <w:rPr>
          <w:vertAlign w:val="superscript"/>
        </w:rPr>
        <w:footnoteReference w:id="110"/>
      </w:r>
      <w:r>
        <w:t xml:space="preserve">. CRP’s labels similarly weight regulatory provenance over synthetic confidence. AI trust labels are emerging as compliance tools for SMEs navigating evolving regulations—</w:t>
      </w:r>
      <w:r>
        <w:t xml:space="preserve">“</w:t>
      </w:r>
      <w:r>
        <w:t xml:space="preserve">think of them like</w:t>
      </w:r>
      <w:r>
        <w:t xml:space="preserve"> </w:t>
      </w:r>
      <w:r>
        <w:t xml:space="preserve">‘</w:t>
      </w:r>
      <w:r>
        <w:t xml:space="preserve">nutrition labels</w:t>
      </w:r>
      <w:r>
        <w:t xml:space="preserve">’</w:t>
      </w:r>
      <w:r>
        <w:t xml:space="preserve"> </w:t>
      </w:r>
      <w:r>
        <w:t xml:space="preserve">or</w:t>
      </w:r>
      <w:r>
        <w:t xml:space="preserve"> </w:t>
      </w:r>
      <w:r>
        <w:t xml:space="preserve">‘</w:t>
      </w:r>
      <w:r>
        <w:t xml:space="preserve">safety seals</w:t>
      </w:r>
      <w:r>
        <w:t xml:space="preserve">’</w:t>
      </w:r>
      <w:r>
        <w:t xml:space="preserve"> </w:t>
      </w:r>
      <w:r>
        <w:t xml:space="preserve">for AI</w:t>
      </w:r>
      <w:r>
        <w:t xml:space="preserve">”</w:t>
      </w:r>
      <w:r>
        <w:t xml:space="preserve"> </w:t>
      </w:r>
      <w:fldSimple w:instr="NOTEREF _Ref_Footnote_10 \h \f">
        <w:r>
          <w:rPr>
            <w:vertAlign w:val="superscript"/>
          </w:rPr>
          <w:t>10</w:t>
        </w:r>
      </w:fldSimple>
      <w:r>
        <w:t xml:space="preserve">. CRP Comply’s confidence labels function as precisely such a nutrition label for every compliance claim generated.</w:t>
      </w:r>
    </w:p>
    <w:p>
      <w:r>
        <w:pict>
          <v:rect style="width:0;height:1.5pt" o:hralign="center" o:hrstd="t" o:hr="t"/>
        </w:pict>
      </w:r>
    </w:p>
    <w:bookmarkEnd w:id="58"/>
    <w:bookmarkEnd w:id="59"/>
    <w:bookmarkStart w:id="67" w:name="Xbb2c53c002d5f133ce936ecf5f475a9ff0c435b"/>
    <w:p>
      <w:pPr>
        <w:pStyle w:val="Heading2"/>
      </w:pPr>
      <w:r>
        <w:t xml:space="preserve">5. Competitive UX Analysis: What Top Platforms Do Right</w:t>
      </w:r>
    </w:p>
    <w:p>
      <w:pPr>
        <w:pStyle w:val="FirstParagraph"/>
      </w:pPr>
      <w:r>
        <w:t xml:space="preserve">Every major compliance platform leaves meaningful UX gaps. This chapter examines what Drata, Vanta, Secureframe, Sprinto, and anecdotes.ai do well — and where each falls short — to identify what CRP Comply should copy, avoid, or leapfrog.</w:t>
      </w:r>
    </w:p>
    <w:p>
      <w:pPr>
        <w:pStyle w:val="CaptionedFigure"/>
      </w:pPr>
      <w:r>
        <w:drawing>
          <wp:inline>
            <wp:extent cx="5334000" cy="3168498"/>
            <wp:effectExtent b="0" l="0" r="0" t="0"/>
            <wp:docPr descr="Figure 5.1 — Competitor Landscape: G2 Rating vs. Pricing" title="" id="61" name="Picture"/>
            <a:graphic>
              <a:graphicData uri="http://schemas.openxmlformats.org/drawingml/2006/picture">
                <pic:pic>
                  <pic:nvPicPr>
                    <pic:cNvPr descr="fig5_1_competitor_landscape.png" id="62" name="Picture"/>
                    <pic:cNvPicPr>
                      <a:picLocks noChangeArrowheads="1" noChangeAspect="1"/>
                    </pic:cNvPicPr>
                  </pic:nvPicPr>
                  <pic:blipFill>
                    <a:blip r:embed="rId60"/>
                    <a:stretch>
                      <a:fillRect/>
                    </a:stretch>
                  </pic:blipFill>
                  <pic:spPr bwMode="auto">
                    <a:xfrm>
                      <a:off x="0" y="0"/>
                      <a:ext cx="5334000" cy="3168498"/>
                    </a:xfrm>
                    <a:prstGeom prst="rect">
                      <a:avLst/>
                    </a:prstGeom>
                    <a:noFill/>
                    <a:ln w="9525">
                      <a:noFill/>
                      <a:headEnd/>
                      <a:tailEnd/>
                    </a:ln>
                  </pic:spPr>
                </pic:pic>
              </a:graphicData>
            </a:graphic>
          </wp:inline>
        </w:drawing>
      </w:r>
    </w:p>
    <w:p>
      <w:pPr>
        <w:pStyle w:val="ImageCaption"/>
      </w:pPr>
      <w:r>
        <w:t xml:space="preserve">Figure 5.1 — Competitor Landscape: G2 Rating vs. Pricing</w:t>
      </w:r>
    </w:p>
    <w:p>
      <w:pPr>
        <w:pStyle w:val="BodyText"/>
      </w:pPr>
      <w:r>
        <w:rPr>
          <w:iCs/>
          <w:i/>
        </w:rPr>
        <w:t xml:space="preserve">Figure 5.1 plots G2 user ratings against approximate first-year cost for a 50-person team. Bubble size indicates relative review volume. CRP Comply’s free-tier positioning ($0 entry point) occupies a segment of the market that no incumbent serves.</w:t>
      </w:r>
    </w:p>
    <w:bookmarkStart w:id="63" w:name="drata-the-developer-friendly-standard"/>
    <w:p>
      <w:pPr>
        <w:pStyle w:val="Heading3"/>
      </w:pPr>
      <w:r>
        <w:t xml:space="preserve">5.1 Drata: The Developer-Friendly Standard</w:t>
      </w:r>
    </w:p>
    <w:p>
      <w:pPr>
        <w:pStyle w:val="FirstParagraph"/>
      </w:pPr>
      <w:r>
        <w:t xml:space="preserve">Drata’s 4.8/5 G2 rating</w:t>
      </w:r>
      <w:r>
        <w:t xml:space="preserve"> </w:t>
      </w:r>
      <w:fldSimple w:instr="NOTEREF _Ref_Footnote_10 \h \f">
        <w:r>
          <w:rPr>
            <w:vertAlign w:val="superscript"/>
          </w:rPr>
          <w:t>10</w:t>
        </w:r>
      </w:fldSimple>
      <w:r>
        <w:t xml:space="preserve">— the highest among all five competitors — rests on a developer-first philosophy. Its</w:t>
      </w:r>
      <w:r>
        <w:t xml:space="preserve"> </w:t>
      </w:r>
      <w:r>
        <w:rPr>
          <w:bCs/>
          <w:b/>
        </w:rPr>
        <w:t xml:space="preserve">Quick Start</w:t>
      </w:r>
      <w:r>
        <w:t xml:space="preserve"> </w:t>
      </w:r>
      <w:r>
        <w:t xml:space="preserve">guided checklist structures onboarding into company information, integration connections, control mapping, and policy templates</w:t>
      </w:r>
      <w:r>
        <w:t xml:space="preserve"> </w:t>
      </w:r>
      <w:r>
        <w:rPr>
          <w:vertAlign w:val="superscript"/>
        </w:rPr>
        <w:footnoteReference w:id="111"/>
      </w:r>
      <w:r>
        <w:t xml:space="preserve">, reducing the paralysis novices face with hundreds of controls. The</w:t>
      </w:r>
      <w:r>
        <w:t xml:space="preserve"> </w:t>
      </w:r>
      <w:r>
        <w:rPr>
          <w:bCs/>
          <w:b/>
        </w:rPr>
        <w:t xml:space="preserve">Audit Hub</w:t>
      </w:r>
      <w:r>
        <w:t xml:space="preserve"> </w:t>
      </w:r>
      <w:r>
        <w:t xml:space="preserve">centralises audit artefacts, cutting email back-and-forth with auditors</w:t>
      </w:r>
      <w:r>
        <w:t xml:space="preserve"> </w:t>
      </w:r>
      <w:fldSimple w:instr="NOTEREF _Ref_Footnote_11 \h \f">
        <w:r>
          <w:rPr>
            <w:vertAlign w:val="superscript"/>
          </w:rPr>
          <w:t>11</w:t>
        </w:r>
      </w:fldSimple>
      <w:r>
        <w:t xml:space="preserve">.</w:t>
      </w:r>
    </w:p>
    <w:p>
      <w:pPr>
        <w:pStyle w:val="BodyText"/>
      </w:pPr>
      <w:r>
        <w:t xml:space="preserve">Drata’s genuine distinction is developer experience:</w:t>
      </w:r>
      <w:r>
        <w:t xml:space="preserve"> </w:t>
      </w:r>
      <w:r>
        <w:rPr>
          <w:bCs/>
          <w:b/>
        </w:rPr>
        <w:t xml:space="preserve">Public API v2</w:t>
      </w:r>
      <w:r>
        <w:t xml:space="preserve"> </w:t>
      </w:r>
      <w:r>
        <w:t xml:space="preserve">with OpenAPI specs, custom connections, and a</w:t>
      </w:r>
      <w:r>
        <w:t xml:space="preserve"> </w:t>
      </w:r>
      <w:r>
        <w:rPr>
          <w:bCs/>
          <w:b/>
        </w:rPr>
        <w:t xml:space="preserve">Model Context Protocol (MCP)</w:t>
      </w:r>
      <w:r>
        <w:t xml:space="preserve"> </w:t>
      </w:r>
      <w:r>
        <w:t xml:space="preserve">enabling AI agents to interact via natural language</w:t>
      </w:r>
      <w:r>
        <w:t xml:space="preserve"> </w:t>
      </w:r>
      <w:r>
        <w:rPr>
          <w:vertAlign w:val="superscript"/>
        </w:rPr>
        <w:footnoteReference w:id="112"/>
      </w:r>
      <w:r>
        <w:t xml:space="preserve">. An unofficial CLI (</w:t>
      </w:r>
      <w:r>
        <w:rPr>
          <w:rStyle w:val="VerbatimChar"/>
        </w:rPr>
        <w:t xml:space="preserve">drata-cli</w:t>
      </w:r>
      <w:r>
        <w:t xml:space="preserve">) exists</w:t>
      </w:r>
      <w:r>
        <w:t xml:space="preserve"> </w:t>
      </w:r>
      <w:fldSimple w:instr="NOTEREF _Ref_Footnote_22 \h \f">
        <w:r>
          <w:rPr>
            <w:vertAlign w:val="superscript"/>
          </w:rPr>
          <w:t>22</w:t>
        </w:r>
      </w:fldSimple>
      <w:r>
        <w:t xml:space="preserve">, signalling demand for terminal-based compliance workflows that Drata does not satisfy. Higher tiers offer</w:t>
      </w:r>
      <w:r>
        <w:t xml:space="preserve"> </w:t>
      </w:r>
      <w:r>
        <w:rPr>
          <w:bCs/>
          <w:b/>
        </w:rPr>
        <w:t xml:space="preserve">Compliance as Code</w:t>
      </w:r>
      <w:r>
        <w:t xml:space="preserve"> </w:t>
      </w:r>
      <w:fldSimple w:instr="NOTEREF _Ref_Footnote_2 \h \f">
        <w:r>
          <w:rPr>
            <w:vertAlign w:val="superscript"/>
          </w:rPr>
          <w:t>2</w:t>
        </w:r>
      </w:fldSimple>
      <w:r>
        <w:t xml:space="preserve">.</w:t>
      </w:r>
    </w:p>
    <w:p>
      <w:pPr>
        <w:pStyle w:val="BodyText"/>
      </w:pPr>
      <w:r>
        <w:t xml:space="preserve">Weaknesses are instructive:</w:t>
      </w:r>
      <w:r>
        <w:t xml:space="preserve"> </w:t>
      </w:r>
      <w:r>
        <w:t xml:space="preserve">“</w:t>
      </w:r>
      <w:r>
        <w:t xml:space="preserve">not all [integrations] provide the same depth. Some only confirm a connection exists rather than pulling meaningful compliance evidence</w:t>
      </w:r>
      <w:r>
        <w:t xml:space="preserve">”</w:t>
      </w:r>
      <w:r>
        <w:t xml:space="preserve"> </w:t>
      </w:r>
      <w:r>
        <w:rPr>
          <w:vertAlign w:val="superscript"/>
        </w:rPr>
        <w:footnoteReference w:id="113"/>
      </w:r>
      <w:r>
        <w:t xml:space="preserve">. Pricing starts at $7{,}500-$15{,}000 per year, reaching $25{,}000-$100{,}000+ at Enterprise</w:t>
      </w:r>
      <w:r>
        <w:t xml:space="preserve"> </w:t>
      </w:r>
      <w:fldSimple w:instr="NOTEREF _Ref_Footnote_6 \h \f">
        <w:r>
          <w:rPr>
            <w:vertAlign w:val="superscript"/>
          </w:rPr>
          <w:t>6</w:t>
        </w:r>
      </w:fldSimple>
      <w:r>
        <w:t xml:space="preserve">. No free tier, no self-serve trial, and renewals carry 10-25% uplifts</w:t>
      </w:r>
      <w:r>
        <w:t xml:space="preserve"> </w:t>
      </w:r>
      <w:fldSimple w:instr="NOTEREF _Ref_Footnote_6 \h \f">
        <w:r>
          <w:rPr>
            <w:vertAlign w:val="superscript"/>
          </w:rPr>
          <w:t>6</w:t>
        </w:r>
      </w:fldSimple>
      <w:r>
        <w:t xml:space="preserve">. Custom framework support is limited</w:t>
      </w:r>
      <w:r>
        <w:t xml:space="preserve"> </w:t>
      </w:r>
      <w:fldSimple w:instr="NOTEREF _Ref_Footnote_113 \h \f">
        <w:r>
          <w:rPr>
            <w:vertAlign w:val="superscript"/>
          </w:rPr>
          <w:t>113</w:t>
        </w:r>
      </w:fldSimple>
      <w:r>
        <w:t xml:space="preserve">, and non-technical teams find setup complex</w:t>
      </w:r>
      <w:r>
        <w:t xml:space="preserve"> </w:t>
      </w:r>
      <w:fldSimple w:instr="NOTEREF _Ref_Footnote_11 \h \f">
        <w:r>
          <w:rPr>
            <w:vertAlign w:val="superscript"/>
          </w:rPr>
          <w:t>11</w:t>
        </w:r>
      </w:fldSimple>
      <w:r>
        <w:t xml:space="preserve">.</w:t>
      </w:r>
    </w:p>
    <w:bookmarkEnd w:id="63"/>
    <w:bookmarkStart w:id="64" w:name="X62d2353f5c3f3eac0d8cdd61a2034e41da3921c"/>
    <w:p>
      <w:pPr>
        <w:pStyle w:val="Heading3"/>
      </w:pPr>
      <w:r>
        <w:t xml:space="preserve">5.2 Vanta: Integration Breadth with Trust Center</w:t>
      </w:r>
    </w:p>
    <w:p>
      <w:pPr>
        <w:pStyle w:val="FirstParagraph"/>
      </w:pPr>
      <w:r>
        <w:t xml:space="preserve">Vanta’s core thesis is</w:t>
      </w:r>
      <w:r>
        <w:t xml:space="preserve"> </w:t>
      </w:r>
      <w:r>
        <w:rPr>
          <w:bCs/>
          <w:b/>
        </w:rPr>
        <w:t xml:space="preserve">integration breadth</w:t>
      </w:r>
      <w:r>
        <w:t xml:space="preserve">: 300+ native integrations — the widest catalog available</w:t>
      </w:r>
      <w:r>
        <w:t xml:space="preserve"> </w:t>
      </w:r>
      <w:fldSimple w:instr="NOTEREF _Ref_Footnote_11 \h \f">
        <w:r>
          <w:rPr>
            <w:vertAlign w:val="superscript"/>
          </w:rPr>
          <w:t>11</w:t>
        </w:r>
      </w:fldSimple>
      <w:r>
        <w:t xml:space="preserve"> </w:t>
      </w:r>
      <w:fldSimple w:instr="NOTEREF _Ref_Footnote_19 \h \f">
        <w:r>
          <w:rPr>
            <w:vertAlign w:val="superscript"/>
          </w:rPr>
          <w:t>19</w:t>
        </w:r>
      </w:fldSimple>
      <w:r>
        <w:t xml:space="preserve">. Tasks are organised by department (HR, IT, Engineering), clarifying ownership</w:t>
      </w:r>
      <w:r>
        <w:t xml:space="preserve"> </w:t>
      </w:r>
      <w:fldSimple w:instr="NOTEREF _Ref_Footnote_11 \h \f">
        <w:r>
          <w:rPr>
            <w:vertAlign w:val="superscript"/>
          </w:rPr>
          <w:t>11</w:t>
        </w:r>
      </w:fldSimple>
      <w:r>
        <w:t xml:space="preserve">, while the</w:t>
      </w:r>
      <w:r>
        <w:t xml:space="preserve"> </w:t>
      </w:r>
      <w:r>
        <w:rPr>
          <w:bCs/>
          <w:b/>
        </w:rPr>
        <w:t xml:space="preserve">Trust Center</w:t>
      </w:r>
      <w:r>
        <w:t xml:space="preserve"> </w:t>
      </w:r>
      <w:r>
        <w:t xml:space="preserve">offers a public-facing security posture display with NDA-gated artefact sharing and AI-powered questionnaire automation</w:t>
      </w:r>
      <w:r>
        <w:t xml:space="preserve"> </w:t>
      </w:r>
      <w:r>
        <w:rPr>
          <w:vertAlign w:val="superscript"/>
        </w:rPr>
        <w:footnoteReference w:id="114"/>
      </w:r>
      <w:r>
        <w:t xml:space="preserve">.</w:t>
      </w:r>
    </w:p>
    <w:p>
      <w:pPr>
        <w:pStyle w:val="BodyText"/>
      </w:pPr>
      <w:r>
        <w:t xml:space="preserve">In April 2024, Vanta switched from top navigation to a</w:t>
      </w:r>
      <w:r>
        <w:t xml:space="preserve"> </w:t>
      </w:r>
      <w:r>
        <w:rPr>
          <w:bCs/>
          <w:b/>
        </w:rPr>
        <w:t xml:space="preserve">sidebar layout</w:t>
      </w:r>
      <w:r>
        <w:t xml:space="preserve"> </w:t>
      </w:r>
      <w:r>
        <w:t xml:space="preserve">after acknowledging that</w:t>
      </w:r>
      <w:r>
        <w:t xml:space="preserve"> </w:t>
      </w:r>
      <w:r>
        <w:t xml:space="preserve">“</w:t>
      </w:r>
      <w:r>
        <w:t xml:space="preserve">the top nav was not as intuitive as it could be</w:t>
      </w:r>
      <w:r>
        <w:t xml:space="preserve">”</w:t>
      </w:r>
      <w:r>
        <w:t xml:space="preserve"> </w:t>
      </w:r>
      <w:r>
        <w:rPr>
          <w:vertAlign w:val="superscript"/>
        </w:rPr>
        <w:footnoteReference w:id="115"/>
      </w:r>
      <w:r>
        <w:t xml:space="preserve">— a signal that feature proliferation had created navigation complexity worth noting for any growing platform. Vanta’s G2 rating is 4.6/5 across 1,818 reviews</w:t>
      </w:r>
      <w:r>
        <w:t xml:space="preserve"> </w:t>
      </w:r>
      <w:fldSimple w:instr="NOTEREF _Ref_Footnote_16 \h \f">
        <w:r>
          <w:rPr>
            <w:vertAlign w:val="superscript"/>
          </w:rPr>
          <w:t>16</w:t>
        </w:r>
      </w:fldSimple>
      <w:r>
        <w:t xml:space="preserve">, but complaints centre on UI clutter:</w:t>
      </w:r>
      <w:r>
        <w:t xml:space="preserve"> </w:t>
      </w:r>
      <w:r>
        <w:t xml:space="preserve">“</w:t>
      </w:r>
      <w:r>
        <w:t xml:space="preserve">the sheer number of controls, tests, and integrations can be overwhelming</w:t>
      </w:r>
      <w:r>
        <w:t xml:space="preserve">”</w:t>
      </w:r>
      <w:r>
        <w:t xml:space="preserve"> </w:t>
      </w:r>
      <w:fldSimple w:instr="NOTEREF _Ref_Footnote_113 \h \f">
        <w:r>
          <w:rPr>
            <w:vertAlign w:val="superscript"/>
          </w:rPr>
          <w:t>113</w:t>
        </w:r>
      </w:fldSimple>
      <w:r>
        <w:t xml:space="preserve">. Per-employee pricing ($7{,}500-$25{,}000 per year) creates budget unpredictability</w:t>
      </w:r>
      <w:r>
        <w:t xml:space="preserve"> </w:t>
      </w:r>
      <w:fldSimple w:instr="NOTEREF _Ref_Footnote_21 \h \f">
        <w:r>
          <w:rPr>
            <w:vertAlign w:val="superscript"/>
          </w:rPr>
          <w:t>21</w:t>
        </w:r>
      </w:fldSimple>
      <w:r>
        <w:t xml:space="preserve">. No free tier exists</w:t>
      </w:r>
      <w:r>
        <w:t xml:space="preserve"> </w:t>
      </w:r>
      <w:fldSimple w:instr="NOTEREF _Ref_Footnote_2 \h \f">
        <w:r>
          <w:rPr>
            <w:vertAlign w:val="superscript"/>
          </w:rPr>
          <w:t>2</w:t>
        </w:r>
      </w:fldSimple>
      <w:r>
        <w:t xml:space="preserve">.</w:t>
      </w:r>
    </w:p>
    <w:bookmarkEnd w:id="64"/>
    <w:bookmarkStart w:id="65" w:name="secureframe-sprinto-and-anecdotes.ai"/>
    <w:p>
      <w:pPr>
        <w:pStyle w:val="Heading3"/>
      </w:pPr>
      <w:r>
        <w:t xml:space="preserve">5.3 Secureframe, Sprinto, and anecdotes.ai</w:t>
      </w:r>
    </w:p>
    <w:p>
      <w:pPr>
        <w:pStyle w:val="FirstParagraph"/>
      </w:pPr>
      <w:r>
        <w:rPr>
          <w:bCs/>
          <w:b/>
        </w:rPr>
        <w:t xml:space="preserve">Secureframe</w:t>
      </w:r>
      <w:r>
        <w:t xml:space="preserve"> </w:t>
      </w:r>
      <w:r>
        <w:t xml:space="preserve">competes on</w:t>
      </w:r>
      <w:r>
        <w:t xml:space="preserve"> </w:t>
      </w:r>
      <w:r>
        <w:rPr>
          <w:bCs/>
          <w:b/>
        </w:rPr>
        <w:t xml:space="preserve">guided onboarding intensity</w:t>
      </w:r>
      <w:r>
        <w:t xml:space="preserve">: dedicated compliance managers, Slack support with questions</w:t>
      </w:r>
      <w:r>
        <w:t xml:space="preserve"> </w:t>
      </w:r>
      <w:r>
        <w:t xml:space="preserve">“</w:t>
      </w:r>
      <w:r>
        <w:t xml:space="preserve">resolved within minutes,</w:t>
      </w:r>
      <w:r>
        <w:t xml:space="preserve">”</w:t>
      </w:r>
      <w:r>
        <w:t xml:space="preserve"> </w:t>
      </w:r>
      <w:r>
        <w:t xml:space="preserve">and a five-phase implementation</w:t>
      </w:r>
      <w:r>
        <w:t xml:space="preserve"> </w:t>
      </w:r>
      <w:fldSimple w:instr="NOTEREF _Ref_Footnote_17 \h \f">
        <w:r>
          <w:rPr>
            <w:vertAlign w:val="superscript"/>
          </w:rPr>
          <w:t>17</w:t>
        </w:r>
      </w:fldSimple>
      <w:r>
        <w:t xml:space="preserve"> </w:t>
      </w:r>
      <w:r>
        <w:rPr>
          <w:vertAlign w:val="superscript"/>
        </w:rPr>
        <w:footnoteReference w:id="116"/>
      </w:r>
      <w:r>
        <w:t xml:space="preserve">. A first-time login redesign (August 2025) eliminated password-reset loops by showing only available authentication methods</w:t>
      </w:r>
      <w:r>
        <w:t xml:space="preserve"> </w:t>
      </w:r>
      <w:r>
        <w:rPr>
          <w:vertAlign w:val="superscript"/>
        </w:rPr>
        <w:footnoteReference w:id="117"/>
      </w:r>
      <w:r>
        <w:t xml:space="preserve">. Users report Secureframe</w:t>
      </w:r>
      <w:r>
        <w:t xml:space="preserve"> </w:t>
      </w:r>
      <w:r>
        <w:t xml:space="preserve">“</w:t>
      </w:r>
      <w:r>
        <w:t xml:space="preserve">cut audit prep time by weeks</w:t>
      </w:r>
      <w:r>
        <w:t xml:space="preserve">”</w:t>
      </w:r>
      <w:r>
        <w:t xml:space="preserve"> </w:t>
      </w:r>
      <w:fldSimple w:instr="NOTEREF _Ref_Footnote_17 \h \f">
        <w:r>
          <w:rPr>
            <w:vertAlign w:val="superscript"/>
          </w:rPr>
          <w:t>17</w:t>
        </w:r>
      </w:fldSimple>
      <w:r>
        <w:t xml:space="preserve">. At $7{,}500 flat for up to 100 employees, it offers the most straightforward incumbent pricing</w:t>
      </w:r>
      <w:r>
        <w:t xml:space="preserve"> </w:t>
      </w:r>
      <w:fldSimple w:instr="NOTEREF _Ref_Footnote_21 \h \f">
        <w:r>
          <w:rPr>
            <w:vertAlign w:val="superscript"/>
          </w:rPr>
          <w:t>21</w:t>
        </w:r>
      </w:fldSimple>
      <w:r>
        <w:t xml:space="preserve">. Weaknesses:</w:t>
      </w:r>
      <w:r>
        <w:t xml:space="preserve"> </w:t>
      </w:r>
      <w:r>
        <w:t xml:space="preserve">“</w:t>
      </w:r>
      <w:r>
        <w:t xml:space="preserve">workflow flexibility is thin,</w:t>
      </w:r>
      <w:r>
        <w:t xml:space="preserve">”</w:t>
      </w:r>
      <w:r>
        <w:t xml:space="preserve"> </w:t>
      </w:r>
      <w:r>
        <w:t xml:space="preserve">integrations</w:t>
      </w:r>
      <w:r>
        <w:t xml:space="preserve"> </w:t>
      </w:r>
      <w:r>
        <w:t xml:space="preserve">“</w:t>
      </w:r>
      <w:r>
        <w:t xml:space="preserve">could work better,</w:t>
      </w:r>
      <w:r>
        <w:t xml:space="preserve">”</w:t>
      </w:r>
      <w:r>
        <w:t xml:space="preserve"> </w:t>
      </w:r>
      <w:r>
        <w:t xml:space="preserve">and the product needs polish</w:t>
      </w:r>
      <w:r>
        <w:t xml:space="preserve"> </w:t>
      </w:r>
      <w:fldSimple w:instr="NOTEREF _Ref_Footnote_20 \h \f">
        <w:r>
          <w:rPr>
            <w:vertAlign w:val="superscript"/>
          </w:rPr>
          <w:t>20</w:t>
        </w:r>
      </w:fldSimple>
      <w:r>
        <w:t xml:space="preserve"> </w:t>
      </w:r>
      <w:r>
        <w:rPr>
          <w:vertAlign w:val="superscript"/>
        </w:rPr>
        <w:footnoteReference w:id="118"/>
      </w:r>
      <w:r>
        <w:t xml:space="preserve">.</w:t>
      </w:r>
    </w:p>
    <w:p>
      <w:pPr>
        <w:pStyle w:val="BodyText"/>
      </w:pPr>
      <w:r>
        <w:rPr>
          <w:bCs/>
          <w:b/>
        </w:rPr>
        <w:t xml:space="preserve">Sprinto</w:t>
      </w:r>
      <w:r>
        <w:t xml:space="preserve"> </w:t>
      </w:r>
      <w:r>
        <w:t xml:space="preserve">centres on</w:t>
      </w:r>
      <w:r>
        <w:t xml:space="preserve"> </w:t>
      </w:r>
      <w:r>
        <w:rPr>
          <w:bCs/>
          <w:b/>
        </w:rPr>
        <w:t xml:space="preserve">speed-to-compliance</w:t>
      </w:r>
      <w:r>
        <w:t xml:space="preserve">, claiming 25-30 days to audit readiness with 90% automation</w:t>
      </w:r>
      <w:r>
        <w:t xml:space="preserve"> </w:t>
      </w:r>
      <w:r>
        <w:rPr>
          <w:vertAlign w:val="superscript"/>
        </w:rPr>
        <w:footnoteReference w:id="119"/>
      </w:r>
      <w:r>
        <w:t xml:space="preserve">. Support metrics are strong: 20-second first response, 95% CSAT</w:t>
      </w:r>
      <w:r>
        <w:t xml:space="preserve"> </w:t>
      </w:r>
      <w:r>
        <w:rPr>
          <w:vertAlign w:val="superscript"/>
        </w:rPr>
        <w:footnoteReference w:id="120"/>
      </w:r>
      <w:r>
        <w:t xml:space="preserve">. Yet its 2.9/5 Trustpilot score</w:t>
      </w:r>
      <w:r>
        <w:t xml:space="preserve"> </w:t>
      </w:r>
      <w:fldSimple w:instr="NOTEREF _Ref_Footnote_18 \h \f">
        <w:r>
          <w:rPr>
            <w:vertAlign w:val="superscript"/>
          </w:rPr>
          <w:t>18</w:t>
        </w:r>
      </w:fldSimple>
      <w:r>
        <w:t xml:space="preserve">exposes</w:t>
      </w:r>
      <w:r>
        <w:t xml:space="preserve"> </w:t>
      </w:r>
      <w:r>
        <w:t xml:space="preserve">“</w:t>
      </w:r>
      <w:r>
        <w:t xml:space="preserve">unauthorised charges, refused refunds</w:t>
      </w:r>
      <w:r>
        <w:t xml:space="preserve">”</w:t>
      </w:r>
      <w:r>
        <w:t xml:space="preserve"> </w:t>
      </w:r>
      <w:r>
        <w:t xml:space="preserve">and opaque pricing ($4{,}000-$25{,}000 per year)</w:t>
      </w:r>
      <w:r>
        <w:t xml:space="preserve"> </w:t>
      </w:r>
      <w:fldSimple w:instr="NOTEREF _Ref_Footnote_18 \h \f">
        <w:r>
          <w:rPr>
            <w:vertAlign w:val="superscript"/>
          </w:rPr>
          <w:t>18</w:t>
        </w:r>
      </w:fldSimple>
      <w:r>
        <w:t xml:space="preserve">— a UX failure that directly undermines trust.</w:t>
      </w:r>
    </w:p>
    <w:p>
      <w:pPr>
        <w:pStyle w:val="BodyText"/>
      </w:pPr>
      <w:r>
        <w:rPr>
          <w:bCs/>
          <w:b/>
        </w:rPr>
        <w:t xml:space="preserve">anecdotes.ai</w:t>
      </w:r>
      <w:r>
        <w:t xml:space="preserve"> </w:t>
      </w:r>
      <w:r>
        <w:t xml:space="preserve">pursues a</w:t>
      </w:r>
      <w:r>
        <w:t xml:space="preserve"> </w:t>
      </w:r>
      <w:r>
        <w:rPr>
          <w:bCs/>
          <w:b/>
        </w:rPr>
        <w:t xml:space="preserve">data-mesh GRC</w:t>
      </w:r>
      <w:r>
        <w:t xml:space="preserve"> </w:t>
      </w:r>
      <w:r>
        <w:t xml:space="preserve">philosophy: rather than starting with frameworks, it pulls live data from source systems and maps to controls, risks, and policies</w:t>
      </w:r>
      <w:r>
        <w:t xml:space="preserve"> </w:t>
      </w:r>
      <w:fldSimple w:instr="NOTEREF _Ref_Footnote_105 \h \f">
        <w:r>
          <w:rPr>
            <w:vertAlign w:val="superscript"/>
          </w:rPr>
          <w:t>105</w:t>
        </w:r>
      </w:fldSimple>
      <w:r>
        <w:t xml:space="preserve">. It offers 230+ plugins, in-environment evidence storage, and a</w:t>
      </w:r>
      <w:r>
        <w:t xml:space="preserve"> </w:t>
      </w:r>
      <w:r>
        <w:rPr>
          <w:bCs/>
          <w:b/>
        </w:rPr>
        <w:t xml:space="preserve">ChatGRC conversational UI</w:t>
      </w:r>
      <w:r>
        <w:t xml:space="preserve"> </w:t>
      </w:r>
      <w:r>
        <w:rPr>
          <w:vertAlign w:val="superscript"/>
        </w:rPr>
        <w:footnoteReference w:id="121"/>
      </w:r>
      <w:r>
        <w:t xml:space="preserve"> </w:t>
      </w:r>
      <w:fldSimple w:instr="NOTEREF _Ref_Footnote_105 \h \f">
        <w:r>
          <w:rPr>
            <w:vertAlign w:val="superscript"/>
          </w:rPr>
          <w:t>105</w:t>
        </w:r>
      </w:fldSimple>
      <w:r>
        <w:t xml:space="preserve">. The trade-off is deliberate:</w:t>
      </w:r>
      <w:r>
        <w:t xml:space="preserve"> </w:t>
      </w:r>
      <w:r>
        <w:t xml:space="preserve">“</w:t>
      </w:r>
      <w:r>
        <w:t xml:space="preserve">explicitly not designed for startups</w:t>
      </w:r>
      <w:r>
        <w:t xml:space="preserve">”</w:t>
      </w:r>
      <w:r>
        <w:t xml:space="preserve"> </w:t>
      </w:r>
      <w:fldSimple w:instr="NOTEREF _Ref_Footnote_20 \h \f">
        <w:r>
          <w:rPr>
            <w:vertAlign w:val="superscript"/>
          </w:rPr>
          <w:t>20</w:t>
        </w:r>
      </w:fldSimple>
      <w:r>
        <w:t xml:space="preserve">, with time-to-value measured in months and a learning curve requiring internal GRC expertise</w:t>
      </w:r>
      <w:r>
        <w:t xml:space="preserve"> </w:t>
      </w:r>
      <w:fldSimple w:instr="NOTEREF _Ref_Footnote_20 \h \f">
        <w:r>
          <w:rPr>
            <w:vertAlign w:val="superscript"/>
          </w:rPr>
          <w:t>20</w:t>
        </w:r>
      </w:fldSimple>
      <w:r>
        <w:t xml:space="preserve">.</w:t>
      </w:r>
    </w:p>
    <w:p>
      <w:pPr>
        <w:pStyle w:val="BodyText"/>
      </w:pPr>
      <w:r>
        <w:rPr>
          <w:bCs/>
          <w:b/>
        </w:rPr>
        <w:t xml:space="preserve">Table 5.1 — Competitor Comparison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Drata</w:t>
            </w:r>
          </w:p>
        </w:tc>
        <w:tc>
          <w:tcPr/>
          <w:p>
            <w:pPr>
              <w:pStyle w:val="Compact"/>
              <w:jc w:val="left"/>
            </w:pPr>
            <w:r>
              <w:t xml:space="preserve">Vanta</w:t>
            </w:r>
          </w:p>
        </w:tc>
        <w:tc>
          <w:tcPr/>
          <w:p>
            <w:pPr>
              <w:pStyle w:val="Compact"/>
              <w:jc w:val="left"/>
            </w:pPr>
            <w:r>
              <w:t xml:space="preserve">Secureframe</w:t>
            </w:r>
          </w:p>
        </w:tc>
        <w:tc>
          <w:tcPr/>
          <w:p>
            <w:pPr>
              <w:pStyle w:val="Compact"/>
              <w:jc w:val="left"/>
            </w:pPr>
            <w:r>
              <w:t xml:space="preserve">Sprinto</w:t>
            </w:r>
          </w:p>
        </w:tc>
        <w:tc>
          <w:tcPr/>
          <w:p>
            <w:pPr>
              <w:pStyle w:val="Compact"/>
              <w:jc w:val="left"/>
            </w:pPr>
            <w:r>
              <w:t xml:space="preserve">anecdotes.ai</w:t>
            </w:r>
          </w:p>
        </w:tc>
      </w:tr>
      <w:tr>
        <w:tc>
          <w:tcPr/>
          <w:p>
            <w:pPr>
              <w:pStyle w:val="Compact"/>
              <w:jc w:val="left"/>
            </w:pPr>
            <w:r>
              <w:t xml:space="preserve">G2 Rating</w:t>
            </w:r>
          </w:p>
        </w:tc>
        <w:tc>
          <w:tcPr/>
          <w:p>
            <w:pPr>
              <w:pStyle w:val="Compact"/>
              <w:jc w:val="left"/>
            </w:pPr>
            <w:r>
              <w:t xml:space="preserve">4.8/5</w:t>
            </w:r>
            <w:r>
              <w:t xml:space="preserve"> </w:t>
            </w:r>
            <w:fldSimple w:instr="NOTEREF _Ref_Footnote_10 \h \f">
              <w:r>
                <w:rPr>
                  <w:vertAlign w:val="superscript"/>
                </w:rPr>
                <w:t>10</w:t>
              </w:r>
            </w:fldSimple>
          </w:p>
        </w:tc>
        <w:tc>
          <w:tcPr/>
          <w:p>
            <w:pPr>
              <w:pStyle w:val="Compact"/>
              <w:jc w:val="left"/>
            </w:pPr>
            <w:r>
              <w:t xml:space="preserve">4.6/5</w:t>
            </w:r>
            <w:r>
              <w:t xml:space="preserve"> </w:t>
            </w:r>
            <w:fldSimple w:instr="NOTEREF _Ref_Footnote_16 \h \f">
              <w:r>
                <w:rPr>
                  <w:vertAlign w:val="superscript"/>
                </w:rPr>
                <w:t>16</w:t>
              </w:r>
            </w:fldSimple>
          </w:p>
        </w:tc>
        <w:tc>
          <w:tcPr/>
          <w:p>
            <w:pPr>
              <w:pStyle w:val="Compact"/>
              <w:jc w:val="left"/>
            </w:pPr>
            <w:r>
              <w:t xml:space="preserve">4.7/5</w:t>
            </w:r>
            <w:r>
              <w:t xml:space="preserve"> </w:t>
            </w:r>
            <w:fldSimple w:instr="NOTEREF _Ref_Footnote_17 \h \f">
              <w:r>
                <w:rPr>
                  <w:vertAlign w:val="superscript"/>
                </w:rPr>
                <w:t>17</w:t>
              </w:r>
            </w:fldSimple>
          </w:p>
        </w:tc>
        <w:tc>
          <w:tcPr/>
          <w:p>
            <w:pPr>
              <w:pStyle w:val="Compact"/>
              <w:jc w:val="left"/>
            </w:pPr>
            <w:r>
              <w:t xml:space="preserve">4.8/5</w:t>
            </w:r>
            <w:r>
              <w:t xml:space="preserve"> </w:t>
            </w:r>
            <w:fldSimple w:instr="NOTEREF _Ref_Footnote_18 \h \f">
              <w:r>
                <w:rPr>
                  <w:vertAlign w:val="superscript"/>
                </w:rPr>
                <w:t>18</w:t>
              </w:r>
            </w:fldSimple>
          </w:p>
        </w:tc>
        <w:tc>
          <w:tcPr/>
          <w:p>
            <w:pPr>
              <w:pStyle w:val="Compact"/>
              <w:jc w:val="left"/>
            </w:pPr>
            <w:r>
              <w:t xml:space="preserve">4.6/5</w:t>
            </w:r>
          </w:p>
        </w:tc>
      </w:tr>
      <w:tr>
        <w:tc>
          <w:tcPr/>
          <w:p>
            <w:pPr>
              <w:pStyle w:val="Compact"/>
              <w:jc w:val="left"/>
            </w:pPr>
            <w:r>
              <w:t xml:space="preserve">Trustpilot</w:t>
            </w:r>
          </w:p>
        </w:tc>
        <w:tc>
          <w:tcPr/>
          <w:p>
            <w:pPr>
              <w:pStyle w:val="Compact"/>
              <w:jc w:val="left"/>
            </w:pPr>
            <w:r>
              <w:t xml:space="preserve">N/A</w:t>
            </w:r>
          </w:p>
        </w:tc>
        <w:tc>
          <w:tcPr/>
          <w:p>
            <w:pPr>
              <w:pStyle w:val="Compact"/>
              <w:jc w:val="left"/>
            </w:pPr>
            <w:r>
              <w:t xml:space="preserve">1/10</w:t>
            </w:r>
            <w:r>
              <w:t xml:space="preserve"> </w:t>
            </w:r>
            <w:fldSimple w:instr="NOTEREF _Ref_Footnote_16 \h \f">
              <w:r>
                <w:rPr>
                  <w:vertAlign w:val="superscript"/>
                </w:rPr>
                <w:t>16</w:t>
              </w:r>
            </w:fldSimple>
          </w:p>
        </w:tc>
        <w:tc>
          <w:tcPr/>
          <w:p>
            <w:pPr>
              <w:pStyle w:val="Compact"/>
              <w:jc w:val="left"/>
            </w:pPr>
            <w:r>
              <w:t xml:space="preserve">4.5/5</w:t>
            </w:r>
            <w:r>
              <w:t xml:space="preserve"> </w:t>
            </w:r>
            <w:fldSimple w:instr="NOTEREF _Ref_Footnote_118 \h \f">
              <w:r>
                <w:rPr>
                  <w:vertAlign w:val="superscript"/>
                </w:rPr>
                <w:t>118</w:t>
              </w:r>
            </w:fldSimple>
          </w:p>
        </w:tc>
        <w:tc>
          <w:tcPr/>
          <w:p>
            <w:pPr>
              <w:pStyle w:val="Compact"/>
              <w:jc w:val="left"/>
            </w:pPr>
            <w:r>
              <w:t xml:space="preserve">2.9/5</w:t>
            </w:r>
            <w:r>
              <w:t xml:space="preserve"> </w:t>
            </w:r>
            <w:fldSimple w:instr="NOTEREF _Ref_Footnote_18 \h \f">
              <w:r>
                <w:rPr>
                  <w:vertAlign w:val="superscript"/>
                </w:rPr>
                <w:t>18</w:t>
              </w:r>
            </w:fldSimple>
          </w:p>
        </w:tc>
        <w:tc>
          <w:tcPr/>
          <w:p>
            <w:pPr>
              <w:pStyle w:val="Compact"/>
              <w:jc w:val="left"/>
            </w:pPr>
            <w:r>
              <w:t xml:space="preserve">N/A</w:t>
            </w:r>
          </w:p>
        </w:tc>
      </w:tr>
      <w:tr>
        <w:tc>
          <w:tcPr/>
          <w:p>
            <w:pPr>
              <w:pStyle w:val="Compact"/>
              <w:jc w:val="left"/>
            </w:pPr>
            <w:r>
              <w:t xml:space="preserve">Core UX Philosophy</w:t>
            </w:r>
          </w:p>
        </w:tc>
        <w:tc>
          <w:tcPr/>
          <w:p>
            <w:pPr>
              <w:pStyle w:val="Compact"/>
              <w:jc w:val="left"/>
            </w:pPr>
            <w:r>
              <w:t xml:space="preserve">Developer-first</w:t>
            </w:r>
          </w:p>
        </w:tc>
        <w:tc>
          <w:tcPr/>
          <w:p>
            <w:pPr>
              <w:pStyle w:val="Compact"/>
              <w:jc w:val="left"/>
            </w:pPr>
            <w:r>
              <w:t xml:space="preserve">Integration breadth</w:t>
            </w:r>
          </w:p>
        </w:tc>
        <w:tc>
          <w:tcPr/>
          <w:p>
            <w:pPr>
              <w:pStyle w:val="Compact"/>
              <w:jc w:val="left"/>
            </w:pPr>
            <w:r>
              <w:t xml:space="preserve">Guided handholding</w:t>
            </w:r>
          </w:p>
        </w:tc>
        <w:tc>
          <w:tcPr/>
          <w:p>
            <w:pPr>
              <w:pStyle w:val="Compact"/>
              <w:jc w:val="left"/>
            </w:pPr>
            <w:r>
              <w:t xml:space="preserve">Speed-to-compliance</w:t>
            </w:r>
          </w:p>
        </w:tc>
        <w:tc>
          <w:tcPr/>
          <w:p>
            <w:pPr>
              <w:pStyle w:val="Compact"/>
              <w:jc w:val="left"/>
            </w:pPr>
            <w:r>
              <w:t xml:space="preserve">Data-mesh GRC</w:t>
            </w:r>
          </w:p>
        </w:tc>
      </w:tr>
      <w:tr>
        <w:tc>
          <w:tcPr/>
          <w:p>
            <w:pPr>
              <w:pStyle w:val="Compact"/>
              <w:jc w:val="left"/>
            </w:pPr>
            <w:r>
              <w:t xml:space="preserve">Onboarding Pattern</w:t>
            </w:r>
          </w:p>
        </w:tc>
        <w:tc>
          <w:tcPr/>
          <w:p>
            <w:pPr>
              <w:pStyle w:val="Compact"/>
              <w:jc w:val="left"/>
            </w:pPr>
            <w:r>
              <w:t xml:space="preserve">Quick Start checklist</w:t>
            </w:r>
            <w:r>
              <w:t xml:space="preserve"> </w:t>
            </w:r>
            <w:fldSimple w:instr="NOTEREF _Ref_Footnote_111 \h \f">
              <w:r>
                <w:rPr>
                  <w:vertAlign w:val="superscript"/>
                </w:rPr>
                <w:t>111</w:t>
              </w:r>
            </w:fldSimple>
          </w:p>
        </w:tc>
        <w:tc>
          <w:tcPr/>
          <w:p>
            <w:pPr>
              <w:pStyle w:val="Compact"/>
              <w:jc w:val="left"/>
            </w:pPr>
            <w:r>
              <w:t xml:space="preserve">Integration-first</w:t>
            </w:r>
            <w:r>
              <w:t xml:space="preserve"> </w:t>
            </w:r>
            <w:fldSimple w:instr="NOTEREF _Ref_Footnote_114 \h \f">
              <w:r>
                <w:rPr>
                  <w:vertAlign w:val="superscript"/>
                </w:rPr>
                <w:t>114</w:t>
              </w:r>
            </w:fldSimple>
          </w:p>
        </w:tc>
        <w:tc>
          <w:tcPr/>
          <w:p>
            <w:pPr>
              <w:pStyle w:val="Compact"/>
              <w:jc w:val="left"/>
            </w:pPr>
            <w:r>
              <w:t xml:space="preserve">Dedicated manager</w:t>
            </w:r>
            <w:r>
              <w:t xml:space="preserve"> </w:t>
            </w:r>
            <w:fldSimple w:instr="NOTEREF _Ref_Footnote_17 \h \f">
              <w:r>
                <w:rPr>
                  <w:vertAlign w:val="superscript"/>
                </w:rPr>
                <w:t>17</w:t>
              </w:r>
            </w:fldSimple>
          </w:p>
        </w:tc>
        <w:tc>
          <w:tcPr/>
          <w:p>
            <w:pPr>
              <w:pStyle w:val="Compact"/>
              <w:jc w:val="left"/>
            </w:pPr>
            <w:r>
              <w:t xml:space="preserve">14-session program</w:t>
            </w:r>
            <w:r>
              <w:t xml:space="preserve"> </w:t>
            </w:r>
            <w:fldSimple w:instr="NOTEREF _Ref_Footnote_18 \h \f">
              <w:r>
                <w:rPr>
                  <w:vertAlign w:val="superscript"/>
                </w:rPr>
                <w:t>18</w:t>
              </w:r>
            </w:fldSimple>
          </w:p>
        </w:tc>
        <w:tc>
          <w:tcPr/>
          <w:p>
            <w:pPr>
              <w:pStyle w:val="Compact"/>
              <w:jc w:val="left"/>
            </w:pPr>
            <w:r>
              <w:t xml:space="preserve">Enterprise implementation</w:t>
            </w:r>
            <w:r>
              <w:t xml:space="preserve"> </w:t>
            </w:r>
            <w:fldSimple w:instr="NOTEREF _Ref_Footnote_20 \h \f">
              <w:r>
                <w:rPr>
                  <w:vertAlign w:val="superscript"/>
                </w:rPr>
                <w:t>20</w:t>
              </w:r>
            </w:fldSimple>
          </w:p>
        </w:tc>
      </w:tr>
      <w:tr>
        <w:tc>
          <w:tcPr/>
          <w:p>
            <w:pPr>
              <w:pStyle w:val="Compact"/>
              <w:jc w:val="left"/>
            </w:pPr>
            <w:r>
              <w:t xml:space="preserve">Time to SOC 2 Type I</w:t>
            </w:r>
          </w:p>
        </w:tc>
        <w:tc>
          <w:tcPr/>
          <w:p>
            <w:pPr>
              <w:pStyle w:val="Compact"/>
              <w:jc w:val="left"/>
            </w:pPr>
            <w:r>
              <w:t xml:space="preserve">4-12 weeks</w:t>
            </w:r>
            <w:r>
              <w:t xml:space="preserve"> </w:t>
            </w:r>
            <w:fldSimple w:instr="NOTEREF _Ref_Footnote_6 \h \f">
              <w:r>
                <w:rPr>
                  <w:vertAlign w:val="superscript"/>
                </w:rPr>
                <w:t>6</w:t>
              </w:r>
            </w:fldSimple>
          </w:p>
        </w:tc>
        <w:tc>
          <w:tcPr/>
          <w:p>
            <w:pPr>
              <w:pStyle w:val="Compact"/>
              <w:jc w:val="left"/>
            </w:pPr>
            <w:r>
              <w:t xml:space="preserve">8-12 weeks</w:t>
            </w:r>
            <w:r>
              <w:t xml:space="preserve"> </w:t>
            </w:r>
            <w:fldSimple w:instr="NOTEREF _Ref_Footnote_19 \h \f">
              <w:r>
                <w:rPr>
                  <w:vertAlign w:val="superscript"/>
                </w:rPr>
                <w:t>19</w:t>
              </w:r>
            </w:fldSimple>
          </w:p>
        </w:tc>
        <w:tc>
          <w:tcPr/>
          <w:p>
            <w:pPr>
              <w:pStyle w:val="Compact"/>
              <w:jc w:val="left"/>
            </w:pPr>
            <w:r>
              <w:t xml:space="preserve">6-10 weeks</w:t>
            </w:r>
            <w:r>
              <w:t xml:space="preserve"> </w:t>
            </w:r>
            <w:fldSimple w:instr="NOTEREF _Ref_Footnote_20 \h \f">
              <w:r>
                <w:rPr>
                  <w:vertAlign w:val="superscript"/>
                </w:rPr>
                <w:t>20</w:t>
              </w:r>
            </w:fldSimple>
          </w:p>
        </w:tc>
        <w:tc>
          <w:tcPr/>
          <w:p>
            <w:pPr>
              <w:pStyle w:val="Compact"/>
              <w:jc w:val="left"/>
            </w:pPr>
            <w:r>
              <w:t xml:space="preserve">8-12 weeks</w:t>
            </w:r>
            <w:r>
              <w:t xml:space="preserve"> </w:t>
            </w:r>
            <w:fldSimple w:instr="NOTEREF _Ref_Footnote_18 \h \f">
              <w:r>
                <w:rPr>
                  <w:vertAlign w:val="superscript"/>
                </w:rPr>
                <w:t>18</w:t>
              </w:r>
            </w:fldSimple>
          </w:p>
        </w:tc>
        <w:tc>
          <w:tcPr/>
          <w:p>
            <w:pPr>
              <w:pStyle w:val="Compact"/>
              <w:jc w:val="left"/>
            </w:pPr>
            <w:r>
              <w:t xml:space="preserve">3-6+ months</w:t>
            </w:r>
            <w:r>
              <w:t xml:space="preserve"> </w:t>
            </w:r>
            <w:fldSimple w:instr="NOTEREF _Ref_Footnote_20 \h \f">
              <w:r>
                <w:rPr>
                  <w:vertAlign w:val="superscript"/>
                </w:rPr>
                <w:t>20</w:t>
              </w:r>
            </w:fldSimple>
          </w:p>
        </w:tc>
      </w:tr>
      <w:tr>
        <w:tc>
          <w:tcPr/>
          <w:p>
            <w:pPr>
              <w:pStyle w:val="Compact"/>
              <w:jc w:val="left"/>
            </w:pPr>
            <w:r>
              <w:t xml:space="preserve">API / Developer Tools</w:t>
            </w:r>
          </w:p>
        </w:tc>
        <w:tc>
          <w:tcPr/>
          <w:p>
            <w:pPr>
              <w:pStyle w:val="Compact"/>
              <w:jc w:val="left"/>
            </w:pPr>
            <w:r>
              <w:t xml:space="preserve">API v2 + MCP</w:t>
            </w:r>
            <w:r>
              <w:t xml:space="preserve"> </w:t>
            </w:r>
            <w:fldSimple w:instr="NOTEREF _Ref_Footnote_112 \h \f">
              <w:r>
                <w:rPr>
                  <w:vertAlign w:val="superscript"/>
                </w:rPr>
                <w:t>112</w:t>
              </w:r>
            </w:fldSimple>
          </w:p>
        </w:tc>
        <w:tc>
          <w:tcPr/>
          <w:p>
            <w:pPr>
              <w:pStyle w:val="Compact"/>
              <w:jc w:val="left"/>
            </w:pPr>
            <w:r>
              <w:t xml:space="preserve">300+ integrations</w:t>
            </w:r>
            <w:r>
              <w:t xml:space="preserve"> </w:t>
            </w:r>
            <w:fldSimple w:instr="NOTEREF _Ref_Footnote_11 \h \f">
              <w:r>
                <w:rPr>
                  <w:vertAlign w:val="superscript"/>
                </w:rPr>
                <w:t>11</w:t>
              </w:r>
            </w:fldSimple>
          </w:p>
        </w:tc>
        <w:tc>
          <w:tcPr/>
          <w:p>
            <w:pPr>
              <w:pStyle w:val="Compact"/>
              <w:jc w:val="left"/>
            </w:pPr>
            <w:r>
              <w:t xml:space="preserve">220+ integrations</w:t>
            </w:r>
            <w:r>
              <w:t xml:space="preserve"> </w:t>
            </w:r>
            <w:r>
              <w:rPr>
                <w:vertAlign w:val="superscript"/>
              </w:rPr>
              <w:footnoteReference w:id="122"/>
            </w:r>
          </w:p>
        </w:tc>
        <w:tc>
          <w:tcPr/>
          <w:p>
            <w:pPr>
              <w:pStyle w:val="Compact"/>
              <w:jc w:val="left"/>
            </w:pPr>
            <w:r>
              <w:t xml:space="preserve">300+ integrations</w:t>
            </w:r>
            <w:r>
              <w:t xml:space="preserve"> </w:t>
            </w:r>
            <w:fldSimple w:instr="NOTEREF _Ref_Footnote_119 \h \f">
              <w:r>
                <w:rPr>
                  <w:vertAlign w:val="superscript"/>
                </w:rPr>
                <w:t>119</w:t>
              </w:r>
            </w:fldSimple>
          </w:p>
        </w:tc>
        <w:tc>
          <w:tcPr/>
          <w:p>
            <w:pPr>
              <w:pStyle w:val="Compact"/>
              <w:jc w:val="left"/>
            </w:pPr>
            <w:r>
              <w:t xml:space="preserve">230+ plugins</w:t>
            </w:r>
            <w:r>
              <w:t xml:space="preserve"> </w:t>
            </w:r>
            <w:fldSimple w:instr="NOTEREF _Ref_Footnote_105 \h \f">
              <w:r>
                <w:rPr>
                  <w:vertAlign w:val="superscript"/>
                </w:rPr>
                <w:t>105</w:t>
              </w:r>
            </w:fldSimple>
          </w:p>
        </w:tc>
      </w:tr>
      <w:tr>
        <w:tc>
          <w:tcPr/>
          <w:p>
            <w:pPr>
              <w:pStyle w:val="Compact"/>
              <w:jc w:val="left"/>
            </w:pPr>
            <w:r>
              <w:t xml:space="preserve">Free Tier</w:t>
            </w:r>
          </w:p>
        </w:tc>
        <w:tc>
          <w:tcPr/>
          <w:p>
            <w:pPr>
              <w:pStyle w:val="Compact"/>
              <w:jc w:val="left"/>
            </w:pPr>
            <w:r>
              <w:t xml:space="preserve">None</w:t>
            </w:r>
            <w:r>
              <w:t xml:space="preserve"> </w:t>
            </w:r>
            <w:fldSimple w:instr="NOTEREF _Ref_Footnote_2 \h \f">
              <w:r>
                <w:rPr>
                  <w:vertAlign w:val="superscript"/>
                </w:rPr>
                <w:t>2</w:t>
              </w:r>
            </w:fldSimple>
          </w:p>
        </w:tc>
        <w:tc>
          <w:tcPr/>
          <w:p>
            <w:pPr>
              <w:pStyle w:val="Compact"/>
              <w:jc w:val="left"/>
            </w:pPr>
            <w:r>
              <w:t xml:space="preserve">None</w:t>
            </w:r>
            <w:r>
              <w:t xml:space="preserve"> </w:t>
            </w:r>
            <w:fldSimple w:instr="NOTEREF _Ref_Footnote_2 \h \f">
              <w:r>
                <w:rPr>
                  <w:vertAlign w:val="superscript"/>
                </w:rPr>
                <w:t>2</w:t>
              </w:r>
            </w:fldSimple>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Starting Price (USD/year)</w:t>
            </w:r>
          </w:p>
        </w:tc>
        <w:tc>
          <w:tcPr/>
          <w:p>
            <w:pPr>
              <w:pStyle w:val="Compact"/>
              <w:jc w:val="left"/>
            </w:pPr>
            <w:r>
              <w:t xml:space="preserve">$7{,}500-$15{,}000</w:t>
            </w:r>
            <w:r>
              <w:t xml:space="preserve"> </w:t>
            </w:r>
            <w:fldSimple w:instr="NOTEREF _Ref_Footnote_6 \h \f">
              <w:r>
                <w:rPr>
                  <w:vertAlign w:val="superscript"/>
                </w:rPr>
                <w:t>6</w:t>
              </w:r>
            </w:fldSimple>
          </w:p>
        </w:tc>
        <w:tc>
          <w:tcPr/>
          <w:p>
            <w:pPr>
              <w:pStyle w:val="Compact"/>
              <w:jc w:val="left"/>
            </w:pPr>
            <w:r>
              <w:t xml:space="preserve">$7{,}500</w:t>
            </w:r>
            <w:r>
              <w:t xml:space="preserve"> </w:t>
            </w:r>
            <w:fldSimple w:instr="NOTEREF _Ref_Footnote_21 \h \f">
              <w:r>
                <w:rPr>
                  <w:vertAlign w:val="superscript"/>
                </w:rPr>
                <w:t>21</w:t>
              </w:r>
            </w:fldSimple>
          </w:p>
        </w:tc>
        <w:tc>
          <w:tcPr/>
          <w:p>
            <w:pPr>
              <w:pStyle w:val="Compact"/>
              <w:jc w:val="left"/>
            </w:pPr>
            <w:r>
              <w:t xml:space="preserve">$7{,}500 flat</w:t>
            </w:r>
            <w:r>
              <w:t xml:space="preserve"> </w:t>
            </w:r>
            <w:fldSimple w:instr="NOTEREF _Ref_Footnote_21 \h \f">
              <w:r>
                <w:rPr>
                  <w:vertAlign w:val="superscript"/>
                </w:rPr>
                <w:t>21</w:t>
              </w:r>
            </w:fldSimple>
          </w:p>
        </w:tc>
        <w:tc>
          <w:tcPr/>
          <w:p>
            <w:pPr>
              <w:pStyle w:val="Compact"/>
              <w:jc w:val="left"/>
            </w:pPr>
            <w:r>
              <w:t xml:space="preserve">$4{,}000-$6{,}000</w:t>
            </w:r>
            <w:r>
              <w:t xml:space="preserve"> </w:t>
            </w:r>
            <w:fldSimple w:instr="NOTEREF _Ref_Footnote_18 \h \f">
              <w:r>
                <w:rPr>
                  <w:vertAlign w:val="superscript"/>
                </w:rPr>
                <w:t>18</w:t>
              </w:r>
            </w:fldSimple>
          </w:p>
        </w:tc>
        <w:tc>
          <w:tcPr/>
          <w:p>
            <w:pPr>
              <w:pStyle w:val="Compact"/>
              <w:jc w:val="left"/>
            </w:pPr>
            <w:r>
              <w:t xml:space="preserve">Custom quote</w:t>
            </w:r>
          </w:p>
        </w:tc>
      </w:tr>
    </w:tbl>
    <w:p>
      <w:pPr>
        <w:pStyle w:val="BodyText"/>
      </w:pPr>
      <w:r>
        <w:t xml:space="preserve">Table 5.1 reveals three patterns. First, G2 ratings cluster tightly at 4.6-4.8, suggesting the category meets baseline expectations without differentiating on satisfaction. Second, Trustpilot diverges sharply — Vanta’s 1/10 and Sprinto’s 2.9/5 expose billing failures that G2’s vendor-influenced ecosystem misses. Third, no competitor offers a free tier, creating a universal barrier CRP Comply can exploit.</w:t>
      </w:r>
    </w:p>
    <w:p>
      <w:pPr>
        <w:pStyle w:val="BodyText"/>
      </w:pPr>
      <w:r>
        <w:rPr>
          <w:bCs/>
          <w:b/>
        </w:rPr>
        <w:t xml:space="preserve">Table 5.2 — Pricing Comparison: Total Cost of Ownership for a 50-Person Team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Year 1 Cost</w:t>
            </w:r>
          </w:p>
        </w:tc>
        <w:tc>
          <w:tcPr/>
          <w:p>
            <w:pPr>
              <w:pStyle w:val="Compact"/>
              <w:jc w:val="left"/>
            </w:pPr>
            <w:r>
              <w:t xml:space="preserve">Pricing Model</w:t>
            </w:r>
          </w:p>
        </w:tc>
        <w:tc>
          <w:tcPr/>
          <w:p>
            <w:pPr>
              <w:pStyle w:val="Compact"/>
              <w:jc w:val="left"/>
            </w:pPr>
            <w:r>
              <w:t xml:space="preserve">Free Trial</w:t>
            </w:r>
          </w:p>
        </w:tc>
        <w:tc>
          <w:tcPr/>
          <w:p>
            <w:pPr>
              <w:pStyle w:val="Compact"/>
              <w:jc w:val="left"/>
            </w:pPr>
            <w:r>
              <w:t xml:space="preserve">Renewal Trend</w:t>
            </w:r>
          </w:p>
        </w:tc>
        <w:tc>
          <w:tcPr/>
          <w:p>
            <w:pPr>
              <w:pStyle w:val="Compact"/>
              <w:jc w:val="left"/>
            </w:pPr>
            <w:r>
              <w:t xml:space="preserve">Hidden Costs</w:t>
            </w:r>
          </w:p>
        </w:tc>
      </w:tr>
      <w:tr>
        <w:tc>
          <w:tcPr/>
          <w:p>
            <w:pPr>
              <w:pStyle w:val="Compact"/>
              <w:jc w:val="left"/>
            </w:pPr>
            <w:r>
              <w:t xml:space="preserve">Drata</w:t>
            </w:r>
          </w:p>
        </w:tc>
        <w:tc>
          <w:tcPr/>
          <w:p>
            <w:pPr>
              <w:pStyle w:val="Compact"/>
              <w:jc w:val="left"/>
            </w:pPr>
            <w:r>
              <w:t xml:space="preserve">$15{,}000-$25{,}000</w:t>
            </w:r>
            <w:r>
              <w:t xml:space="preserve"> </w:t>
            </w:r>
            <w:fldSimple w:instr="NOTEREF _Ref_Footnote_6 \h \f">
              <w:r>
                <w:rPr>
                  <w:vertAlign w:val="superscript"/>
                </w:rPr>
                <w:t>6</w:t>
              </w:r>
            </w:fldSimple>
          </w:p>
        </w:tc>
        <w:tc>
          <w:tcPr/>
          <w:p>
            <w:pPr>
              <w:pStyle w:val="Compact"/>
              <w:jc w:val="left"/>
            </w:pPr>
            <w:r>
              <w:t xml:space="preserve">Tiered annual</w:t>
            </w:r>
          </w:p>
        </w:tc>
        <w:tc>
          <w:tcPr/>
          <w:p>
            <w:pPr>
              <w:pStyle w:val="Compact"/>
              <w:jc w:val="left"/>
            </w:pPr>
            <w:r>
              <w:t xml:space="preserve">Sales contact only</w:t>
            </w:r>
          </w:p>
        </w:tc>
        <w:tc>
          <w:tcPr/>
          <w:p>
            <w:pPr>
              <w:pStyle w:val="Compact"/>
              <w:jc w:val="left"/>
            </w:pPr>
            <w:r>
              <w:t xml:space="preserve">+10-25% uplift</w:t>
            </w:r>
            <w:r>
              <w:t xml:space="preserve"> </w:t>
            </w:r>
            <w:fldSimple w:instr="NOTEREF _Ref_Footnote_6 \h \f">
              <w:r>
                <w:rPr>
                  <w:vertAlign w:val="superscript"/>
                </w:rPr>
                <w:t>6</w:t>
              </w:r>
            </w:fldSimple>
          </w:p>
        </w:tc>
        <w:tc>
          <w:tcPr/>
          <w:p>
            <w:pPr>
              <w:pStyle w:val="Compact"/>
              <w:jc w:val="left"/>
            </w:pPr>
            <w:r>
              <w:t xml:space="preserve">SafeBase add-on $5K-$20K</w:t>
            </w:r>
            <w:r>
              <w:t xml:space="preserve"> </w:t>
            </w:r>
            <w:fldSimple w:instr="NOTEREF _Ref_Footnote_6 \h \f">
              <w:r>
                <w:rPr>
                  <w:vertAlign w:val="superscript"/>
                </w:rPr>
                <w:t>6</w:t>
              </w:r>
            </w:fldSimple>
          </w:p>
        </w:tc>
      </w:tr>
      <w:tr>
        <w:tc>
          <w:tcPr/>
          <w:p>
            <w:pPr>
              <w:pStyle w:val="Compact"/>
              <w:jc w:val="left"/>
            </w:pPr>
            <w:r>
              <w:t xml:space="preserve">Vanta</w:t>
            </w:r>
          </w:p>
        </w:tc>
        <w:tc>
          <w:tcPr/>
          <w:p>
            <w:pPr>
              <w:pStyle w:val="Compact"/>
              <w:jc w:val="left"/>
            </w:pPr>
            <w:r>
              <w:t xml:space="preserve">~$15{,}000</w:t>
            </w:r>
            <w:r>
              <w:t xml:space="preserve"> </w:t>
            </w:r>
            <w:fldSimple w:instr="NOTEREF _Ref_Footnote_21 \h \f">
              <w:r>
                <w:rPr>
                  <w:vertAlign w:val="superscript"/>
                </w:rPr>
                <w:t>21</w:t>
              </w:r>
            </w:fldSimple>
          </w:p>
        </w:tc>
        <w:tc>
          <w:tcPr/>
          <w:p>
            <w:pPr>
              <w:pStyle w:val="Compact"/>
              <w:jc w:val="left"/>
            </w:pPr>
            <w:r>
              <w:t xml:space="preserve">Per-employee</w:t>
            </w:r>
          </w:p>
        </w:tc>
        <w:tc>
          <w:tcPr/>
          <w:p>
            <w:pPr>
              <w:pStyle w:val="Compact"/>
              <w:jc w:val="left"/>
            </w:pPr>
            <w:r>
              <w:t xml:space="preserve">None</w:t>
            </w:r>
            <w:r>
              <w:t xml:space="preserve"> </w:t>
            </w:r>
            <w:fldSimple w:instr="NOTEREF _Ref_Footnote_2 \h \f">
              <w:r>
                <w:rPr>
                  <w:vertAlign w:val="superscript"/>
                </w:rPr>
                <w:t>2</w:t>
              </w:r>
            </w:fldSimple>
          </w:p>
        </w:tc>
        <w:tc>
          <w:tcPr/>
          <w:p>
            <w:pPr>
              <w:pStyle w:val="Compact"/>
              <w:jc w:val="left"/>
            </w:pPr>
            <w:r>
              <w:t xml:space="preserve">Scales with headcount</w:t>
            </w:r>
          </w:p>
        </w:tc>
        <w:tc>
          <w:tcPr/>
          <w:p>
            <w:pPr>
              <w:pStyle w:val="Compact"/>
              <w:jc w:val="left"/>
            </w:pPr>
            <w:r>
              <w:t xml:space="preserve">Custom tests, frameworks extra</w:t>
            </w:r>
            <w:r>
              <w:t xml:space="preserve"> </w:t>
            </w:r>
            <w:fldSimple w:instr="NOTEREF _Ref_Footnote_11 \h \f">
              <w:r>
                <w:rPr>
                  <w:vertAlign w:val="superscript"/>
                </w:rPr>
                <w:t>11</w:t>
              </w:r>
            </w:fldSimple>
          </w:p>
        </w:tc>
      </w:tr>
      <w:tr>
        <w:tc>
          <w:tcPr/>
          <w:p>
            <w:pPr>
              <w:pStyle w:val="Compact"/>
              <w:jc w:val="left"/>
            </w:pPr>
            <w:r>
              <w:t xml:space="preserve">Secureframe</w:t>
            </w:r>
          </w:p>
        </w:tc>
        <w:tc>
          <w:tcPr/>
          <w:p>
            <w:pPr>
              <w:pStyle w:val="Compact"/>
              <w:jc w:val="left"/>
            </w:pPr>
            <w:r>
              <w:t xml:space="preserve">~$7{,}500</w:t>
            </w:r>
            <w:r>
              <w:t xml:space="preserve"> </w:t>
            </w:r>
            <w:fldSimple w:instr="NOTEREF _Ref_Footnote_21 \h \f">
              <w:r>
                <w:rPr>
                  <w:vertAlign w:val="superscript"/>
                </w:rPr>
                <w:t>21</w:t>
              </w:r>
            </w:fldSimple>
          </w:p>
        </w:tc>
        <w:tc>
          <w:tcPr/>
          <w:p>
            <w:pPr>
              <w:pStyle w:val="Compact"/>
              <w:jc w:val="left"/>
            </w:pPr>
            <w:r>
              <w:t xml:space="preserve">Flat fee (up to 100)</w:t>
            </w:r>
          </w:p>
        </w:tc>
        <w:tc>
          <w:tcPr/>
          <w:p>
            <w:pPr>
              <w:pStyle w:val="Compact"/>
              <w:jc w:val="left"/>
            </w:pPr>
            <w:r>
              <w:t xml:space="preserve">None</w:t>
            </w:r>
          </w:p>
        </w:tc>
        <w:tc>
          <w:tcPr/>
          <w:p>
            <w:pPr>
              <w:pStyle w:val="Compact"/>
              <w:jc w:val="left"/>
            </w:pPr>
            <w:r>
              <w:t xml:space="preserve">Moderate uplift</w:t>
            </w:r>
          </w:p>
        </w:tc>
        <w:tc>
          <w:tcPr/>
          <w:p>
            <w:pPr>
              <w:pStyle w:val="Compact"/>
              <w:jc w:val="left"/>
            </w:pPr>
            <w:r>
              <w:t xml:space="preserve">Additional frameworks ~$1{,}000</w:t>
            </w:r>
            <w:r>
              <w:t xml:space="preserve"> </w:t>
            </w:r>
            <w:fldSimple w:instr="NOTEREF _Ref_Footnote_120 \h \f">
              <w:r>
                <w:rPr>
                  <w:vertAlign w:val="superscript"/>
                </w:rPr>
                <w:t>120</w:t>
              </w:r>
            </w:fldSimple>
          </w:p>
        </w:tc>
      </w:tr>
      <w:tr>
        <w:tc>
          <w:tcPr/>
          <w:p>
            <w:pPr>
              <w:pStyle w:val="Compact"/>
              <w:jc w:val="left"/>
            </w:pPr>
            <w:r>
              <w:t xml:space="preserve">Sprinto</w:t>
            </w:r>
          </w:p>
        </w:tc>
        <w:tc>
          <w:tcPr/>
          <w:p>
            <w:pPr>
              <w:pStyle w:val="Compact"/>
              <w:jc w:val="left"/>
            </w:pPr>
            <w:r>
              <w:t xml:space="preserve">$6{,}000-$25{,}000</w:t>
            </w:r>
            <w:r>
              <w:t xml:space="preserve"> </w:t>
            </w:r>
            <w:fldSimple w:instr="NOTEREF _Ref_Footnote_18 \h \f">
              <w:r>
                <w:rPr>
                  <w:vertAlign w:val="superscript"/>
                </w:rPr>
                <w:t>18</w:t>
              </w:r>
            </w:fldSimple>
          </w:p>
        </w:tc>
        <w:tc>
          <w:tcPr/>
          <w:p>
            <w:pPr>
              <w:pStyle w:val="Compact"/>
              <w:jc w:val="left"/>
            </w:pPr>
            <w:r>
              <w:t xml:space="preserve">Quote-based</w:t>
            </w:r>
          </w:p>
        </w:tc>
        <w:tc>
          <w:tcPr/>
          <w:p>
            <w:pPr>
              <w:pStyle w:val="Compact"/>
              <w:jc w:val="left"/>
            </w:pPr>
            <w:r>
              <w:t xml:space="preserve">None</w:t>
            </w:r>
          </w:p>
        </w:tc>
        <w:tc>
          <w:tcPr/>
          <w:p>
            <w:pPr>
              <w:pStyle w:val="Compact"/>
              <w:jc w:val="left"/>
            </w:pPr>
            <w:r>
              <w:t xml:space="preserve">Unpredictable</w:t>
            </w:r>
          </w:p>
        </w:tc>
        <w:tc>
          <w:tcPr/>
          <w:p>
            <w:pPr>
              <w:pStyle w:val="Compact"/>
              <w:jc w:val="left"/>
            </w:pPr>
            <w:r>
              <w:t xml:space="preserve">Billing disputes reported</w:t>
            </w:r>
            <w:r>
              <w:t xml:space="preserve"> </w:t>
            </w:r>
            <w:fldSimple w:instr="NOTEREF _Ref_Footnote_18 \h \f">
              <w:r>
                <w:rPr>
                  <w:vertAlign w:val="superscript"/>
                </w:rPr>
                <w:t>18</w:t>
              </w:r>
            </w:fldSimple>
          </w:p>
        </w:tc>
      </w:tr>
      <w:tr>
        <w:tc>
          <w:tcPr/>
          <w:p>
            <w:pPr>
              <w:pStyle w:val="Compact"/>
              <w:jc w:val="left"/>
            </w:pPr>
            <w:r>
              <w:t xml:space="preserve">anecdotes.ai</w:t>
            </w:r>
          </w:p>
        </w:tc>
        <w:tc>
          <w:tcPr/>
          <w:p>
            <w:pPr>
              <w:pStyle w:val="Compact"/>
              <w:jc w:val="left"/>
            </w:pPr>
            <w:r>
              <w:t xml:space="preserve">Custom (enterprise)</w:t>
            </w:r>
          </w:p>
        </w:tc>
        <w:tc>
          <w:tcPr/>
          <w:p>
            <w:pPr>
              <w:pStyle w:val="Compact"/>
              <w:jc w:val="left"/>
            </w:pPr>
            <w:r>
              <w:t xml:space="preserve">Enterprise quote</w:t>
            </w:r>
          </w:p>
        </w:tc>
        <w:tc>
          <w:tcPr/>
          <w:p>
            <w:pPr>
              <w:pStyle w:val="Compact"/>
              <w:jc w:val="left"/>
            </w:pPr>
            <w:r>
              <w:t xml:space="preserve">None</w:t>
            </w:r>
          </w:p>
        </w:tc>
        <w:tc>
          <w:tcPr/>
          <w:p>
            <w:pPr>
              <w:pStyle w:val="Compact"/>
              <w:jc w:val="left"/>
            </w:pPr>
            <w:r>
              <w:t xml:space="preserve">Negotiated</w:t>
            </w:r>
          </w:p>
        </w:tc>
        <w:tc>
          <w:tcPr/>
          <w:p>
            <w:pPr>
              <w:pStyle w:val="Compact"/>
              <w:jc w:val="left"/>
            </w:pPr>
            <w:r>
              <w:t xml:space="preserve">Implementation services</w:t>
            </w:r>
          </w:p>
        </w:tc>
      </w:tr>
      <w:tr>
        <w:tc>
          <w:tcPr/>
          <w:p>
            <w:pPr>
              <w:pStyle w:val="Compact"/>
              <w:jc w:val="left"/>
            </w:pPr>
            <w:r>
              <w:rPr>
                <w:bCs/>
                <w:b/>
              </w:rPr>
              <w:t xml:space="preserve">CRP Comply</w:t>
            </w:r>
          </w:p>
        </w:tc>
        <w:tc>
          <w:tcPr/>
          <w:p>
            <w:pPr>
              <w:pStyle w:val="Compact"/>
              <w:jc w:val="left"/>
            </w:pPr>
            <w:r>
              <w:rPr>
                <w:bCs/>
                <w:b/>
              </w:rPr>
              <w:t xml:space="preserve">$0 / $49 / $499</w:t>
            </w:r>
          </w:p>
        </w:tc>
        <w:tc>
          <w:tcPr/>
          <w:p>
            <w:pPr>
              <w:pStyle w:val="Compact"/>
              <w:jc w:val="left"/>
            </w:pPr>
            <w:r>
              <w:rPr>
                <w:bCs/>
                <w:b/>
              </w:rPr>
              <w:t xml:space="preserve">Tiered transparent</w:t>
            </w:r>
          </w:p>
        </w:tc>
        <w:tc>
          <w:tcPr/>
          <w:p>
            <w:pPr>
              <w:pStyle w:val="Compact"/>
              <w:jc w:val="left"/>
            </w:pPr>
            <w:r>
              <w:rPr>
                <w:bCs/>
                <w:b/>
              </w:rPr>
              <w:t xml:space="preserve">100 calls/mo free</w:t>
            </w:r>
            <w:r>
              <w:rPr>
                <w:bCs/>
                <w:b/>
              </w:rPr>
              <w:t xml:space="preserve"> </w:t>
            </w:r>
            <w:r>
              <w:rPr>
                <w:vertAlign w:val="superscript"/>
              </w:rPr>
              <w:footnoteReference w:id="123"/>
            </w:r>
          </w:p>
        </w:tc>
        <w:tc>
          <w:tcPr/>
          <w:p>
            <w:pPr>
              <w:pStyle w:val="Compact"/>
              <w:jc w:val="left"/>
            </w:pPr>
            <w:r>
              <w:rPr>
                <w:bCs/>
                <w:b/>
              </w:rPr>
              <w:t xml:space="preserve">Published, fixed</w:t>
            </w:r>
          </w:p>
        </w:tc>
        <w:tc>
          <w:tcPr/>
          <w:p>
            <w:pPr>
              <w:pStyle w:val="Compact"/>
              <w:jc w:val="left"/>
            </w:pPr>
            <w:r>
              <w:rPr>
                <w:bCs/>
                <w:b/>
              </w:rPr>
              <w:t xml:space="preserve">None — all-inclusive</w:t>
            </w:r>
          </w:p>
        </w:tc>
      </w:tr>
    </w:tbl>
    <w:p>
      <w:pPr>
        <w:pStyle w:val="BodyText"/>
      </w:pPr>
      <w:r>
        <w:t xml:space="preserve">Table 5.2 exposes pricing opacity as a structural market feature. Every incumbent requires a sales call before disclosing costs. Drata forces buyers through a quote process</w:t>
      </w:r>
      <w:r>
        <w:t xml:space="preserve"> </w:t>
      </w:r>
      <w:fldSimple w:instr="NOTEREF _Ref_Footnote_6 \h \f">
        <w:r>
          <w:rPr>
            <w:vertAlign w:val="superscript"/>
          </w:rPr>
          <w:t>6</w:t>
        </w:r>
      </w:fldSimple>
      <w:r>
        <w:t xml:space="preserve">. Vanta’s per-employee model penalises growth</w:t>
      </w:r>
      <w:r>
        <w:t xml:space="preserve"> </w:t>
      </w:r>
      <w:fldSimple w:instr="NOTEREF _Ref_Footnote_21 \h \f">
        <w:r>
          <w:rPr>
            <w:vertAlign w:val="superscript"/>
          </w:rPr>
          <w:t>21</w:t>
        </w:r>
      </w:fldSimple>
      <w:r>
        <w:t xml:space="preserve">. Sprinto has produced documented billing complaints, including customers charged $3{,}000 upfront with refunds refused</w:t>
      </w:r>
      <w:r>
        <w:t xml:space="preserve"> </w:t>
      </w:r>
      <w:fldSimple w:instr="NOTEREF _Ref_Footnote_18 \h \f">
        <w:r>
          <w:rPr>
            <w:vertAlign w:val="superscript"/>
          </w:rPr>
          <w:t>18</w:t>
        </w:r>
      </w:fldSimple>
      <w:r>
        <w:t xml:space="preserve">. For a 50-person team, first-year costs range from $7{,}500 to $25{,}000. CRP Comply’s $0/$49/$499 transparent tiers represent a radical departure.</w:t>
      </w:r>
    </w:p>
    <w:bookmarkEnd w:id="65"/>
    <w:bookmarkStart w:id="66" w:name="X566b126a50b0dd748596d8788762ca6e9b6b976"/>
    <w:p>
      <w:pPr>
        <w:pStyle w:val="Heading3"/>
      </w:pPr>
      <w:r>
        <w:t xml:space="preserve">5.4 Universal Pain Points and CRP Comply’s Differentiation</w:t>
      </w:r>
    </w:p>
    <w:p>
      <w:pPr>
        <w:pStyle w:val="FirstParagraph"/>
      </w:pPr>
      <w:r>
        <w:t xml:space="preserve">Five pain points recur across 45+ sources:</w:t>
      </w:r>
      <w:r>
        <w:t xml:space="preserve"> </w:t>
      </w:r>
      <w:r>
        <w:rPr>
          <w:bCs/>
          <w:b/>
        </w:rPr>
        <w:t xml:space="preserve">pricing opacity</w:t>
      </w:r>
      <w:r>
        <w:t xml:space="preserve"> </w:t>
      </w:r>
      <w:fldSimple w:instr="NOTEREF _Ref_Footnote_6 \h \f">
        <w:r>
          <w:rPr>
            <w:vertAlign w:val="superscript"/>
          </w:rPr>
          <w:t>6</w:t>
        </w:r>
      </w:fldSimple>
      <w:r>
        <w:t xml:space="preserve"> </w:t>
      </w:r>
      <w:fldSimple w:instr="NOTEREF _Ref_Footnote_18 \h \f">
        <w:r>
          <w:rPr>
            <w:vertAlign w:val="superscript"/>
          </w:rPr>
          <w:t>18</w:t>
        </w:r>
      </w:fldSimple>
      <w:r>
        <w:t xml:space="preserve">,</w:t>
      </w:r>
      <w:r>
        <w:t xml:space="preserve"> </w:t>
      </w:r>
      <w:r>
        <w:rPr>
          <w:bCs/>
          <w:b/>
        </w:rPr>
        <w:t xml:space="preserve">steep learning curves</w:t>
      </w:r>
      <w:r>
        <w:t xml:space="preserve"> </w:t>
      </w:r>
      <w:fldSimple w:instr="NOTEREF _Ref_Footnote_18 \h \f">
        <w:r>
          <w:rPr>
            <w:vertAlign w:val="superscript"/>
          </w:rPr>
          <w:t>18</w:t>
        </w:r>
      </w:fldSimple>
      <w:r>
        <w:t xml:space="preserve">,</w:t>
      </w:r>
      <w:r>
        <w:t xml:space="preserve"> </w:t>
      </w:r>
      <w:r>
        <w:rPr>
          <w:bCs/>
          <w:b/>
        </w:rPr>
        <w:t xml:space="preserve">integration reliability gaps</w:t>
      </w:r>
      <w:r>
        <w:t xml:space="preserve"> </w:t>
      </w:r>
      <w:r>
        <w:t xml:space="preserve">between</w:t>
      </w:r>
      <w:r>
        <w:t xml:space="preserve"> </w:t>
      </w:r>
      <w:r>
        <w:t xml:space="preserve">“</w:t>
      </w:r>
      <w:r>
        <w:t xml:space="preserve">integration exists</w:t>
      </w:r>
      <w:r>
        <w:t xml:space="preserve">”</w:t>
      </w:r>
      <w:r>
        <w:t xml:space="preserve"> </w:t>
      </w:r>
      <w:r>
        <w:t xml:space="preserve">and</w:t>
      </w:r>
      <w:r>
        <w:t xml:space="preserve"> </w:t>
      </w:r>
      <w:r>
        <w:t xml:space="preserve">“</w:t>
      </w:r>
      <w:r>
        <w:t xml:space="preserve">integration fully automates the control</w:t>
      </w:r>
      <w:r>
        <w:t xml:space="preserve">”</w:t>
      </w:r>
      <w:r>
        <w:t xml:space="preserve"> </w:t>
      </w:r>
      <w:fldSimple w:instr="NOTEREF _Ref_Footnote_113 \h \f">
        <w:r>
          <w:rPr>
            <w:vertAlign w:val="superscript"/>
          </w:rPr>
          <w:t>113</w:t>
        </w:r>
      </w:fldSimple>
      <w:r>
        <w:t xml:space="preserve">,</w:t>
      </w:r>
      <w:r>
        <w:t xml:space="preserve"> </w:t>
      </w:r>
      <w:r>
        <w:rPr>
          <w:bCs/>
          <w:b/>
        </w:rPr>
        <w:t xml:space="preserve">limited customisation</w:t>
      </w:r>
      <w:r>
        <w:t xml:space="preserve"> </w:t>
      </w:r>
      <w:fldSimple w:instr="NOTEREF _Ref_Footnote_20 \h \f">
        <w:r>
          <w:rPr>
            <w:vertAlign w:val="superscript"/>
          </w:rPr>
          <w:t>20</w:t>
        </w:r>
      </w:fldSimple>
      <w:r>
        <w:t xml:space="preserve">, and</w:t>
      </w:r>
      <w:r>
        <w:t xml:space="preserve"> </w:t>
      </w:r>
      <w:r>
        <w:rPr>
          <w:bCs/>
          <w:b/>
        </w:rPr>
        <w:t xml:space="preserve">support responsiveness variation</w:t>
      </w:r>
      <w:r>
        <w:t xml:space="preserve"> </w:t>
      </w:r>
      <w:fldSimple w:instr="NOTEREF _Ref_Footnote_11 \h \f">
        <w:r>
          <w:rPr>
            <w:vertAlign w:val="superscript"/>
          </w:rPr>
          <w:t>11</w:t>
        </w:r>
      </w:fldSimple>
      <w:r>
        <w:t xml:space="preserve">. These are structural features of a market optimised for enterprise sales, not user self-service.</w:t>
      </w:r>
    </w:p>
    <w:p>
      <w:pPr>
        <w:pStyle w:val="BodyText"/>
      </w:pPr>
      <w:r>
        <w:t xml:space="preserve">The</w:t>
      </w:r>
      <w:r>
        <w:t xml:space="preserve"> </w:t>
      </w:r>
      <w:r>
        <w:t xml:space="preserve">“</w:t>
      </w:r>
      <w:r>
        <w:t xml:space="preserve">automation theatre</w:t>
      </w:r>
      <w:r>
        <w:t xml:space="preserve">”</w:t>
      </w:r>
      <w:r>
        <w:t xml:space="preserve"> </w:t>
      </w:r>
      <w:r>
        <w:t xml:space="preserve">problem is particularly acute. A 2025 GRC peer study found 68% of teams using automation tools still manually collect 30-40% of their evidence</w:t>
      </w:r>
      <w:r>
        <w:t xml:space="preserve"> </w:t>
      </w:r>
      <w:r>
        <w:rPr>
          <w:vertAlign w:val="superscript"/>
        </w:rPr>
        <w:footnoteReference w:id="124"/>
      </w:r>
      <w:r>
        <w:t xml:space="preserve">. Most platforms</w:t>
      </w:r>
      <w:r>
        <w:t xml:space="preserve"> </w:t>
      </w:r>
      <w:r>
        <w:t xml:space="preserve">“</w:t>
      </w:r>
      <w:r>
        <w:t xml:space="preserve">excel at layer 3 [framework-mapped evidence organisation] but stumble on layers 1 and 2 [source-level integrations, continuous control monitoring]</w:t>
      </w:r>
      <w:r>
        <w:t xml:space="preserve">”</w:t>
      </w:r>
      <w:r>
        <w:t xml:space="preserve"> </w:t>
      </w:r>
      <w:fldSimple w:instr="NOTEREF _Ref_Footnote_124 \h \f">
        <w:r>
          <w:rPr>
            <w:vertAlign w:val="superscript"/>
          </w:rPr>
          <w:t>124</w:t>
        </w:r>
      </w:fldSimple>
      <w:r>
        <w:t xml:space="preserve">. Users discover this gap during their first audit — not the sales demo — eroding trust when it matters most.</w:t>
      </w:r>
    </w:p>
    <w:p>
      <w:pPr>
        <w:pStyle w:val="BodyText"/>
      </w:pPr>
      <w:r>
        <w:rPr>
          <w:bCs/>
          <w:b/>
        </w:rPr>
        <w:t xml:space="preserve">Table 5.3 — CRP Comply Differentiation: Copy, Avoid, and Leapfrog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Competitor Pattern</w:t>
            </w:r>
          </w:p>
        </w:tc>
        <w:tc>
          <w:tcPr/>
          <w:p>
            <w:pPr>
              <w:pStyle w:val="Compact"/>
              <w:jc w:val="left"/>
            </w:pPr>
            <w:r>
              <w:t xml:space="preserve">CRP Action</w:t>
            </w:r>
          </w:p>
        </w:tc>
        <w:tc>
          <w:tcPr/>
          <w:p>
            <w:pPr>
              <w:pStyle w:val="Compact"/>
              <w:jc w:val="left"/>
            </w:pPr>
            <w:r>
              <w:t xml:space="preserve">Rationale</w:t>
            </w:r>
          </w:p>
        </w:tc>
      </w:tr>
      <w:tr>
        <w:tc>
          <w:tcPr/>
          <w:p>
            <w:pPr>
              <w:pStyle w:val="Compact"/>
              <w:jc w:val="left"/>
            </w:pPr>
            <w:r>
              <w:rPr>
                <w:bCs/>
                <w:b/>
              </w:rPr>
              <w:t xml:space="preserve">Drata Quick Start checklist</w:t>
            </w:r>
            <w:r>
              <w:t xml:space="preserve"> </w:t>
            </w:r>
            <w:fldSimple w:instr="NOTEREF _Ref_Footnote_111 \h \f">
              <w:r>
                <w:rPr>
                  <w:vertAlign w:val="superscript"/>
                </w:rPr>
                <w:t>111</w:t>
              </w:r>
            </w:fldSimple>
          </w:p>
        </w:tc>
        <w:tc>
          <w:tcPr/>
          <w:p>
            <w:pPr>
              <w:pStyle w:val="Compact"/>
              <w:jc w:val="left"/>
            </w:pPr>
            <w:r>
              <w:t xml:space="preserve">Copy and adapt: EU AI Act-specific progressive checklist with CLI</w:t>
            </w:r>
            <w:r>
              <w:t xml:space="preserve"> </w:t>
            </w:r>
            <w:r>
              <w:rPr>
                <w:rStyle w:val="VerbatimChar"/>
              </w:rPr>
              <w:t xml:space="preserve">crp init</w:t>
            </w:r>
          </w:p>
        </w:tc>
        <w:tc>
          <w:tcPr/>
          <w:p>
            <w:pPr>
              <w:pStyle w:val="Compact"/>
              <w:jc w:val="left"/>
            </w:pPr>
            <w:r>
              <w:t xml:space="preserve">Checklists work; article-level steps differentiate</w:t>
            </w:r>
          </w:p>
        </w:tc>
      </w:tr>
      <w:tr>
        <w:tc>
          <w:tcPr/>
          <w:p>
            <w:pPr>
              <w:pStyle w:val="Compact"/>
              <w:jc w:val="left"/>
            </w:pPr>
            <w:r>
              <w:rPr>
                <w:bCs/>
                <w:b/>
              </w:rPr>
              <w:t xml:space="preserve">Vanta sidebar navigation</w:t>
            </w:r>
            <w:r>
              <w:t xml:space="preserve"> </w:t>
            </w:r>
            <w:fldSimple w:instr="NOTEREF _Ref_Footnote_115 \h \f">
              <w:r>
                <w:rPr>
                  <w:vertAlign w:val="superscript"/>
                </w:rPr>
                <w:t>115</w:t>
              </w:r>
            </w:fldSimple>
          </w:p>
        </w:tc>
        <w:tc>
          <w:tcPr/>
          <w:p>
            <w:pPr>
              <w:pStyle w:val="Compact"/>
              <w:jc w:val="left"/>
            </w:pPr>
            <w:r>
              <w:t xml:space="preserve">Copy: clean sidebar with Recipes, Evidence, Assistant, Settings</w:t>
            </w:r>
          </w:p>
        </w:tc>
        <w:tc>
          <w:tcPr/>
          <w:p>
            <w:pPr>
              <w:pStyle w:val="Compact"/>
              <w:jc w:val="left"/>
            </w:pPr>
            <w:r>
              <w:t xml:space="preserve">Sidebar scales better than top-nav as features grow</w:t>
            </w:r>
          </w:p>
        </w:tc>
      </w:tr>
      <w:tr>
        <w:tc>
          <w:tcPr/>
          <w:p>
            <w:pPr>
              <w:pStyle w:val="Compact"/>
              <w:jc w:val="left"/>
            </w:pPr>
            <w:r>
              <w:rPr>
                <w:bCs/>
                <w:b/>
              </w:rPr>
              <w:t xml:space="preserve">Vanta Trust Center</w:t>
            </w:r>
            <w:r>
              <w:t xml:space="preserve"> </w:t>
            </w:r>
            <w:fldSimple w:instr="NOTEREF _Ref_Footnote_114 \h \f">
              <w:r>
                <w:rPr>
                  <w:vertAlign w:val="superscript"/>
                </w:rPr>
                <w:t>114</w:t>
              </w:r>
            </w:fldSimple>
          </w:p>
        </w:tc>
        <w:tc>
          <w:tcPr/>
          <w:p>
            <w:pPr>
              <w:pStyle w:val="Compact"/>
              <w:jc w:val="left"/>
            </w:pPr>
            <w:r>
              <w:t xml:space="preserve">Adapt: public EU AI Act compliance posture with article-level status</w:t>
            </w:r>
          </w:p>
        </w:tc>
        <w:tc>
          <w:tcPr/>
          <w:p>
            <w:pPr>
              <w:pStyle w:val="Compact"/>
              <w:jc w:val="left"/>
            </w:pPr>
            <w:r>
              <w:t xml:space="preserve">Transparency as marketing; no competitor does this for AI Act</w:t>
            </w:r>
          </w:p>
        </w:tc>
      </w:tr>
      <w:tr>
        <w:tc>
          <w:tcPr/>
          <w:p>
            <w:pPr>
              <w:pStyle w:val="Compact"/>
              <w:jc w:val="left"/>
            </w:pPr>
            <w:r>
              <w:rPr>
                <w:bCs/>
                <w:b/>
              </w:rPr>
              <w:t xml:space="preserve">Secureframe integration transparency</w:t>
            </w:r>
            <w:r>
              <w:t xml:space="preserve"> </w:t>
            </w:r>
            <w:fldSimple w:instr="NOTEREF _Ref_Footnote_122 \h \f">
              <w:r>
                <w:rPr>
                  <w:vertAlign w:val="superscript"/>
                </w:rPr>
                <w:t>122</w:t>
              </w:r>
            </w:fldSimple>
          </w:p>
        </w:tc>
        <w:tc>
          <w:tcPr/>
          <w:p>
            <w:pPr>
              <w:pStyle w:val="Compact"/>
              <w:jc w:val="left"/>
            </w:pPr>
            <w:r>
              <w:t xml:space="preserve">Leapfrog: show exactly what each recipe collects before activation; open-source recipes for audit</w:t>
            </w:r>
          </w:p>
        </w:tc>
        <w:tc>
          <w:tcPr/>
          <w:p>
            <w:pPr>
              <w:pStyle w:val="Compact"/>
              <w:jc w:val="left"/>
            </w:pPr>
            <w:r>
              <w:t xml:space="preserve">Users can see permissions and data pulled before connecting</w:t>
            </w:r>
          </w:p>
        </w:tc>
      </w:tr>
      <w:tr>
        <w:tc>
          <w:tcPr/>
          <w:p>
            <w:pPr>
              <w:pStyle w:val="Compact"/>
              <w:jc w:val="left"/>
            </w:pPr>
            <w:r>
              <w:rPr>
                <w:bCs/>
                <w:b/>
              </w:rPr>
              <w:t xml:space="preserve">anecdotes.ai ChatGRC</w:t>
            </w:r>
            <w:r>
              <w:t xml:space="preserve"> </w:t>
            </w:r>
            <w:fldSimple w:instr="NOTEREF _Ref_Footnote_121 \h \f">
              <w:r>
                <w:rPr>
                  <w:vertAlign w:val="superscript"/>
                </w:rPr>
                <w:t>121</w:t>
              </w:r>
            </w:fldSimple>
          </w:p>
        </w:tc>
        <w:tc>
          <w:tcPr/>
          <w:p>
            <w:pPr>
              <w:pStyle w:val="Compact"/>
              <w:jc w:val="left"/>
            </w:pPr>
            <w:r>
              <w:t xml:space="preserve">Adapt: streaming assistant with natural language evidence queries</w:t>
            </w:r>
          </w:p>
        </w:tc>
        <w:tc>
          <w:tcPr/>
          <w:p>
            <w:pPr>
              <w:pStyle w:val="Compact"/>
              <w:jc w:val="left"/>
            </w:pPr>
            <w:r>
              <w:t xml:space="preserve">Streaming differentiates from static chat; cites sources inline</w:t>
            </w:r>
          </w:p>
        </w:tc>
      </w:tr>
      <w:tr>
        <w:tc>
          <w:tcPr/>
          <w:p>
            <w:pPr>
              <w:pStyle w:val="Compact"/>
              <w:jc w:val="left"/>
            </w:pPr>
            <w:r>
              <w:rPr>
                <w:bCs/>
                <w:b/>
              </w:rPr>
              <w:t xml:space="preserve">Drata MCP protocol</w:t>
            </w:r>
            <w:r>
              <w:t xml:space="preserve"> </w:t>
            </w:r>
            <w:fldSimple w:instr="NOTEREF _Ref_Footnote_112 \h \f">
              <w:r>
                <w:rPr>
                  <w:vertAlign w:val="superscript"/>
                </w:rPr>
                <w:t>112</w:t>
              </w:r>
            </w:fldSimple>
          </w:p>
        </w:tc>
        <w:tc>
          <w:tcPr/>
          <w:p>
            <w:pPr>
              <w:pStyle w:val="Compact"/>
              <w:jc w:val="left"/>
            </w:pPr>
            <w:r>
              <w:t xml:space="preserve">Leapfrog: local LLM with zero inference cost; no usage anxiety</w:t>
            </w:r>
          </w:p>
        </w:tc>
        <w:tc>
          <w:tcPr/>
          <w:p>
            <w:pPr>
              <w:pStyle w:val="Compact"/>
              <w:jc w:val="left"/>
            </w:pPr>
            <w:r>
              <w:t xml:space="preserve">$0 inference is a psychological and economic differentiator</w:t>
            </w:r>
          </w:p>
        </w:tc>
      </w:tr>
      <w:tr>
        <w:tc>
          <w:tcPr/>
          <w:p>
            <w:pPr>
              <w:pStyle w:val="Compact"/>
              <w:jc w:val="left"/>
            </w:pPr>
            <w:r>
              <w:t xml:space="preserve">All: pricing opacity</w:t>
            </w:r>
            <w:r>
              <w:t xml:space="preserve"> </w:t>
            </w:r>
            <w:fldSimple w:instr="NOTEREF _Ref_Footnote_6 \h \f">
              <w:r>
                <w:rPr>
                  <w:vertAlign w:val="superscript"/>
                </w:rPr>
                <w:t>6</w:t>
              </w:r>
            </w:fldSimple>
          </w:p>
        </w:tc>
        <w:tc>
          <w:tcPr/>
          <w:p>
            <w:pPr>
              <w:pStyle w:val="Compact"/>
              <w:jc w:val="left"/>
            </w:pPr>
            <w:r>
              <w:t xml:space="preserve">Avoid entirely: publish full pricing, enable self-serve signup</w:t>
            </w:r>
          </w:p>
        </w:tc>
        <w:tc>
          <w:tcPr/>
          <w:p>
            <w:pPr>
              <w:pStyle w:val="Compact"/>
              <w:jc w:val="left"/>
            </w:pPr>
            <w:r>
              <w:t xml:space="preserve">Trust velocity — no sales gate between interest and first use</w:t>
            </w:r>
          </w:p>
        </w:tc>
      </w:tr>
      <w:tr>
        <w:tc>
          <w:tcPr/>
          <w:p>
            <w:pPr>
              <w:pStyle w:val="Compact"/>
              <w:jc w:val="left"/>
            </w:pPr>
            <w:r>
              <w:t xml:space="preserve">All: no free tier</w:t>
            </w:r>
            <w:r>
              <w:t xml:space="preserve"> </w:t>
            </w:r>
            <w:fldSimple w:instr="NOTEREF _Ref_Footnote_2 \h \f">
              <w:r>
                <w:rPr>
                  <w:vertAlign w:val="superscript"/>
                </w:rPr>
                <w:t>2</w:t>
              </w:r>
            </w:fldSimple>
          </w:p>
        </w:tc>
        <w:tc>
          <w:tcPr/>
          <w:p>
            <w:pPr>
              <w:pStyle w:val="Compact"/>
              <w:jc w:val="left"/>
            </w:pPr>
            <w:r>
              <w:t xml:space="preserve">Maintain 100 calls/mo free tier indefinitely</w:t>
            </w:r>
            <w:r>
              <w:t xml:space="preserve"> </w:t>
            </w:r>
            <w:fldSimple w:instr="NOTEREF _Ref_Footnote_123 \h \f">
              <w:r>
                <w:rPr>
                  <w:vertAlign w:val="superscript"/>
                </w:rPr>
                <w:t>123</w:t>
              </w:r>
            </w:fldSimple>
          </w:p>
        </w:tc>
        <w:tc>
          <w:tcPr/>
          <w:p>
            <w:pPr>
              <w:pStyle w:val="Compact"/>
              <w:jc w:val="left"/>
            </w:pPr>
            <w:r>
              <w:t xml:space="preserve">Free tier feeds viral loop; local mode costs CRP nothing</w:t>
            </w:r>
          </w:p>
        </w:tc>
      </w:tr>
    </w:tbl>
    <w:p>
      <w:pPr>
        <w:pStyle w:val="BodyText"/>
      </w:pPr>
      <w:r>
        <w:t xml:space="preserve">Table 5.3 translates competitive intelligence into product decisions. Patterns to copy — Drata’s checklist, Vanta’s sidebar, Secureframe’s transparency — represent validated UX users already expect. Patterns to leapfrog — open-source recipes, local LLM at $0, article-level public compliance posture — exploit structural advantages incumbents cannot replicate. Drata’s MCP protocol</w:t>
      </w:r>
      <w:r>
        <w:t xml:space="preserve"> </w:t>
      </w:r>
      <w:fldSimple w:instr="NOTEREF _Ref_Footnote_112 \h \f">
        <w:r>
          <w:rPr>
            <w:vertAlign w:val="superscript"/>
          </w:rPr>
          <w:t>112</w:t>
        </w:r>
      </w:fldSimple>
      <w:r>
        <w:t xml:space="preserve">shows the market moving toward AI-native compliance, but no incumbent pairs it with zero-cost local inference. Vanta’s Trust Center</w:t>
      </w:r>
      <w:r>
        <w:t xml:space="preserve"> </w:t>
      </w:r>
      <w:fldSimple w:instr="NOTEREF _Ref_Footnote_114 \h \f">
        <w:r>
          <w:rPr>
            <w:vertAlign w:val="superscript"/>
          </w:rPr>
          <w:t>114</w:t>
        </w:r>
      </w:fldSimple>
      <w:r>
        <w:t xml:space="preserve">proves public compliance transparency builds trust, yet no competitor applies this to EU AI Act article-level status.</w:t>
      </w:r>
    </w:p>
    <w:p>
      <w:pPr>
        <w:pStyle w:val="BodyText"/>
      </w:pPr>
      <w:r>
        <w:t xml:space="preserve">The most powerful differentiation is the simplest: a</w:t>
      </w:r>
      <w:r>
        <w:t xml:space="preserve"> </w:t>
      </w:r>
      <w:r>
        <w:rPr>
          <w:bCs/>
          <w:b/>
        </w:rPr>
        <w:t xml:space="preserve">genuinely useful free tier</w:t>
      </w:r>
      <w:r>
        <w:t xml:space="preserve">. No competitor offers this</w:t>
      </w:r>
      <w:r>
        <w:t xml:space="preserve"> </w:t>
      </w:r>
      <w:fldSimple w:instr="NOTEREF _Ref_Footnote_123 \h \f">
        <w:r>
          <w:rPr>
            <w:vertAlign w:val="superscript"/>
          </w:rPr>
          <w:t>123</w:t>
        </w:r>
      </w:fldSimple>
      <w:r>
        <w:t xml:space="preserve">. In a market where every platform demands $7{,}500+ before the first compliance check, CRP Comply’s 100 calls per month at $0 eliminates evaluation risk. Combined with local LLM mode ($0 marginal cost), HMAC-signed evidence chains, and article-level EU AI Act mapping no competitor provides, this creates a defensible differentiation profile.</w:t>
      </w:r>
    </w:p>
    <w:p>
      <w:pPr>
        <w:pStyle w:val="BodyText"/>
      </w:pPr>
      <w:r>
        <w:t xml:space="preserve">Every incumbent optimises for a different segment — developers (Drata), breadth (Vanta), handholding (Secureframe), speed (Sprinto), mature GRC (anecdotes.ai) — yet all share the same structural weaknesses: opaque pricing, no free tier, integration gaps, and learning curves measured in weeks. CRP Comply’s combination of transparent pricing, CLI+web hybrid access, local LLM inference, and EU AI Act specificity addresses each gap with a coherence no incumbent can match without fundamental business model changes.</w:t>
      </w:r>
    </w:p>
    <w:p>
      <w:r>
        <w:pict>
          <v:rect style="width:0;height:1.5pt" o:hralign="center" o:hrstd="t" o:hr="t"/>
        </w:pict>
      </w:r>
    </w:p>
    <w:bookmarkEnd w:id="66"/>
    <w:bookmarkEnd w:id="67"/>
    <w:bookmarkStart w:id="75" w:name="X919566c77fa0cb44ee30a7de4d409f6d3ccf91a"/>
    <w:p>
      <w:pPr>
        <w:pStyle w:val="Heading2"/>
      </w:pPr>
      <w:r>
        <w:t xml:space="preserve">6. Backend Session Management &amp; Personalization</w:t>
      </w:r>
    </w:p>
    <w:p>
      <w:pPr>
        <w:pStyle w:val="FirstParagraph"/>
      </w:pPr>
      <w:r>
        <w:t xml:space="preserve">The frontend innovations examined in preceding chapters—streaming LLM responses, optimistic UI, command palettes—depend on backend infrastructure that sustains them at scale. For CRP Comply, serving thousands of compliance professionals across four pricing tiers, the backend must guarantee sub-second personalization, enforce tenant isolation, and maintain audit-grade session control. This chapter examines the architectural decisions that achieve these outcomes.</w:t>
      </w:r>
    </w:p>
    <w:bookmarkStart w:id="68" w:name="session-management-strategies"/>
    <w:p>
      <w:pPr>
        <w:pStyle w:val="Heading3"/>
      </w:pPr>
      <w:r>
        <w:t xml:space="preserve">6.1 Session Management Strategies</w:t>
      </w:r>
    </w:p>
    <w:p>
      <w:pPr>
        <w:pStyle w:val="FirstParagraph"/>
      </w:pPr>
      <w:r>
        <w:t xml:space="preserve">Industry consensus across 2025–2026 confirms that high-scale systems now combine short-lived JWT access tokens with Redis-backed refresh tokens—merging the horizontal scalability of stateless auth with the revocation immediacy of stateful stores</w:t>
      </w:r>
      <w:r>
        <w:t xml:space="preserve"> </w:t>
      </w:r>
      <w:r>
        <w:rPr>
          <w:vertAlign w:val="superscript"/>
        </w:rPr>
        <w:footnoteReference w:id="125"/>
      </w:r>
      <w:r>
        <w:t xml:space="preserve"> </w:t>
      </w:r>
      <w:r>
        <w:rPr>
          <w:vertAlign w:val="superscript"/>
        </w:rPr>
        <w:footnoteReference w:id="126"/>
      </w:r>
      <w:r>
        <w:t xml:space="preserve">. Pure JWT enables independent validation across microservices without a central session store</w:t>
      </w:r>
      <w:r>
        <w:t xml:space="preserve"> </w:t>
      </w:r>
      <w:r>
        <w:rPr>
          <w:vertAlign w:val="superscript"/>
        </w:rPr>
        <w:footnoteReference w:id="127"/>
      </w:r>
      <w:r>
        <w:t xml:space="preserve">, yet its fundamental weakness—impossibility of revocation before expiry without additional blocklist infrastructure—makes it unsuitable for compliance applications where immediate session termination is a regulatory requirement</w:t>
      </w:r>
      <w:r>
        <w:t xml:space="preserve"> </w:t>
      </w:r>
      <w:fldSimple w:instr="NOTEREF _Ref_Footnote_125 \h \f">
        <w:r>
          <w:rPr>
            <w:vertAlign w:val="superscript"/>
          </w:rPr>
          <w:t>125</w:t>
        </w:r>
      </w:fldSimple>
      <w:r>
        <w:t xml:space="preserve">.</w:t>
      </w:r>
    </w:p>
    <w:p>
      <w:pPr>
        <w:pStyle w:val="BodyText"/>
      </w:pPr>
      <w:r>
        <w:t xml:space="preserve">Redis-backed sessions close this gap. Session identifiers in HTTP-only cookies reference server-side state in Redis, enabling instantaneous invalidation by key deletion</w:t>
      </w:r>
      <w:r>
        <w:t xml:space="preserve"> </w:t>
      </w:r>
      <w:fldSimple w:instr="NOTEREF _Ref_Footnote_126 \h \f">
        <w:r>
          <w:rPr>
            <w:vertAlign w:val="superscript"/>
          </w:rPr>
          <w:t>126</w:t>
        </w:r>
      </w:fldSimple>
      <w:r>
        <w:t xml:space="preserve">. The latency cost is modest—approximately 1–5 ms per request—and the security posture improves through HttpOnly cookie attributes that mitigate XSS exposure</w:t>
      </w:r>
      <w:r>
        <w:t xml:space="preserve"> </w:t>
      </w:r>
      <w:fldSimple w:instr="NOTEREF _Ref_Footnote_126 \h \f">
        <w:r>
          <w:rPr>
            <w:vertAlign w:val="superscript"/>
          </w:rPr>
          <w:t>126</w:t>
        </w:r>
      </w:fldSimple>
      <w:r>
        <w:t xml:space="preserve">. For CRP Comply’s web application, Redis sessions provide the revocation immediacy compliance officers require. JWT suits CLI, SDK, and API Gateway integrations where stateless authentication across distributed services is essential</w:t>
      </w:r>
      <w:r>
        <w:t xml:space="preserve"> </w:t>
      </w:r>
      <w:fldSimple w:instr="NOTEREF _Ref_Footnote_126 \h \f">
        <w:r>
          <w:rPr>
            <w:vertAlign w:val="superscript"/>
          </w:rPr>
          <w:t>126</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JWT (Stateless)</w:t>
            </w:r>
          </w:p>
        </w:tc>
        <w:tc>
          <w:tcPr/>
          <w:p>
            <w:pPr>
              <w:pStyle w:val="Compact"/>
              <w:jc w:val="left"/>
            </w:pPr>
            <w:r>
              <w:t xml:space="preserve">Redis Sessions (Stateful)</w:t>
            </w:r>
          </w:p>
        </w:tc>
        <w:tc>
          <w:tcPr/>
          <w:p>
            <w:pPr>
              <w:pStyle w:val="Compact"/>
              <w:jc w:val="left"/>
            </w:pPr>
            <w:r>
              <w:t xml:space="preserve">Hybrid (JWT + Redis Refresh)</w:t>
            </w:r>
          </w:p>
        </w:tc>
      </w:tr>
      <w:tr>
        <w:tc>
          <w:tcPr/>
          <w:p>
            <w:pPr>
              <w:pStyle w:val="Compact"/>
              <w:jc w:val="left"/>
            </w:pPr>
            <w:r>
              <w:t xml:space="preserve">Token revocation</w:t>
            </w:r>
          </w:p>
        </w:tc>
        <w:tc>
          <w:tcPr/>
          <w:p>
            <w:pPr>
              <w:pStyle w:val="Compact"/>
              <w:jc w:val="left"/>
            </w:pPr>
            <w:r>
              <w:t xml:space="preserve">Complex—requires blocklist</w:t>
            </w:r>
            <w:r>
              <w:t xml:space="preserve"> </w:t>
            </w:r>
            <w:fldSimple w:instr="NOTEREF _Ref_Footnote_125 \h \f">
              <w:r>
                <w:rPr>
                  <w:vertAlign w:val="superscript"/>
                </w:rPr>
                <w:t>125</w:t>
              </w:r>
            </w:fldSimple>
          </w:p>
        </w:tc>
        <w:tc>
          <w:tcPr/>
          <w:p>
            <w:pPr>
              <w:pStyle w:val="Compact"/>
              <w:jc w:val="left"/>
            </w:pPr>
            <w:r>
              <w:t xml:space="preserve">Immediate via key deletion</w:t>
            </w:r>
            <w:r>
              <w:t xml:space="preserve"> </w:t>
            </w:r>
            <w:fldSimple w:instr="NOTEREF _Ref_Footnote_126 \h \f">
              <w:r>
                <w:rPr>
                  <w:vertAlign w:val="superscript"/>
                </w:rPr>
                <w:t>126</w:t>
              </w:r>
            </w:fldSimple>
          </w:p>
        </w:tc>
        <w:tc>
          <w:tcPr/>
          <w:p>
            <w:pPr>
              <w:pStyle w:val="Compact"/>
              <w:jc w:val="left"/>
            </w:pPr>
            <w:r>
              <w:t xml:space="preserve">Immediate via refresh token rotation</w:t>
            </w:r>
          </w:p>
        </w:tc>
      </w:tr>
      <w:tr>
        <w:tc>
          <w:tcPr/>
          <w:p>
            <w:pPr>
              <w:pStyle w:val="Compact"/>
              <w:jc w:val="left"/>
            </w:pPr>
            <w:r>
              <w:t xml:space="preserve">Horizontal scaling</w:t>
            </w:r>
          </w:p>
        </w:tc>
        <w:tc>
          <w:tcPr/>
          <w:p>
            <w:pPr>
              <w:pStyle w:val="Compact"/>
              <w:jc w:val="left"/>
            </w:pPr>
            <w:r>
              <w:t xml:space="preserve">Excellent—no shared store</w:t>
            </w:r>
            <w:r>
              <w:t xml:space="preserve"> </w:t>
            </w:r>
            <w:fldSimple w:instr="NOTEREF _Ref_Footnote_125 \h \f">
              <w:r>
                <w:rPr>
                  <w:vertAlign w:val="superscript"/>
                </w:rPr>
                <w:t>125</w:t>
              </w:r>
            </w:fldSimple>
          </w:p>
        </w:tc>
        <w:tc>
          <w:tcPr/>
          <w:p>
            <w:pPr>
              <w:pStyle w:val="Compact"/>
              <w:jc w:val="left"/>
            </w:pPr>
            <w:r>
              <w:t xml:space="preserve">Requires shared Redis cluster</w:t>
            </w:r>
            <w:r>
              <w:t xml:space="preserve"> </w:t>
            </w:r>
            <w:r>
              <w:rPr>
                <w:vertAlign w:val="superscript"/>
              </w:rPr>
              <w:footnoteReference w:id="128"/>
            </w:r>
          </w:p>
        </w:tc>
        <w:tc>
          <w:tcPr/>
          <w:p>
            <w:pPr>
              <w:pStyle w:val="Compact"/>
              <w:jc w:val="left"/>
            </w:pPr>
            <w:r>
              <w:t xml:space="preserve">Excellent—stateless API + centralised refresh</w:t>
            </w:r>
          </w:p>
        </w:tc>
      </w:tr>
      <w:tr>
        <w:tc>
          <w:tcPr/>
          <w:p>
            <w:pPr>
              <w:pStyle w:val="Compact"/>
              <w:jc w:val="left"/>
            </w:pPr>
            <w:r>
              <w:t xml:space="preserve">XSS vulnerability</w:t>
            </w:r>
          </w:p>
        </w:tc>
        <w:tc>
          <w:tcPr/>
          <w:p>
            <w:pPr>
              <w:pStyle w:val="Compact"/>
              <w:jc w:val="left"/>
            </w:pPr>
            <w:r>
              <w:t xml:space="preserve">Higher (localStorage exposure)</w:t>
            </w:r>
          </w:p>
        </w:tc>
        <w:tc>
          <w:tcPr/>
          <w:p>
            <w:pPr>
              <w:pStyle w:val="Compact"/>
              <w:jc w:val="left"/>
            </w:pPr>
            <w:r>
              <w:t xml:space="preserve">Lower (HttpOnly cookies)</w:t>
            </w:r>
            <w:r>
              <w:t xml:space="preserve"> </w:t>
            </w:r>
            <w:fldSimple w:instr="NOTEREF _Ref_Footnote_126 \h \f">
              <w:r>
                <w:rPr>
                  <w:vertAlign w:val="superscript"/>
                </w:rPr>
                <w:t>126</w:t>
              </w:r>
            </w:fldSimple>
          </w:p>
        </w:tc>
        <w:tc>
          <w:tcPr/>
          <w:p>
            <w:pPr>
              <w:pStyle w:val="Compact"/>
              <w:jc w:val="left"/>
            </w:pPr>
            <w:r>
              <w:t xml:space="preserve">Lower—HttpOnly for web, signed JWT for API</w:t>
            </w:r>
          </w:p>
        </w:tc>
      </w:tr>
      <w:tr>
        <w:tc>
          <w:tcPr/>
          <w:p>
            <w:pPr>
              <w:pStyle w:val="Compact"/>
              <w:jc w:val="left"/>
            </w:pPr>
            <w:r>
              <w:t xml:space="preserve">CSRF protection</w:t>
            </w:r>
          </w:p>
        </w:tc>
        <w:tc>
          <w:tcPr/>
          <w:p>
            <w:pPr>
              <w:pStyle w:val="Compact"/>
              <w:jc w:val="left"/>
            </w:pPr>
            <w:r>
              <w:t xml:space="preserve">Requires custom implementation</w:t>
            </w:r>
          </w:p>
        </w:tc>
        <w:tc>
          <w:tcPr/>
          <w:p>
            <w:pPr>
              <w:pStyle w:val="Compact"/>
              <w:jc w:val="left"/>
            </w:pPr>
            <w:r>
              <w:t xml:space="preserve">Built-in with cookie flags</w:t>
            </w:r>
          </w:p>
        </w:tc>
        <w:tc>
          <w:tcPr/>
          <w:p>
            <w:pPr>
              <w:pStyle w:val="Compact"/>
              <w:jc w:val="left"/>
            </w:pPr>
            <w:r>
              <w:t xml:space="preserve">Best of both—cookie flags + signed tokens</w:t>
            </w:r>
          </w:p>
        </w:tc>
      </w:tr>
      <w:tr>
        <w:tc>
          <w:tcPr/>
          <w:p>
            <w:pPr>
              <w:pStyle w:val="Compact"/>
              <w:jc w:val="left"/>
            </w:pPr>
            <w:r>
              <w:t xml:space="preserve">Microservices fit</w:t>
            </w:r>
          </w:p>
        </w:tc>
        <w:tc>
          <w:tcPr/>
          <w:p>
            <w:pPr>
              <w:pStyle w:val="Compact"/>
              <w:jc w:val="left"/>
            </w:pPr>
            <w:r>
              <w:t xml:space="preserve">Independent validation</w:t>
            </w:r>
            <w:r>
              <w:t xml:space="preserve"> </w:t>
            </w:r>
            <w:fldSimple w:instr="NOTEREF _Ref_Footnote_127 \h \f">
              <w:r>
                <w:rPr>
                  <w:vertAlign w:val="superscript"/>
                </w:rPr>
                <w:t>127</w:t>
              </w:r>
            </w:fldSimple>
          </w:p>
        </w:tc>
        <w:tc>
          <w:tcPr/>
          <w:p>
            <w:pPr>
              <w:pStyle w:val="Compact"/>
              <w:jc w:val="left"/>
            </w:pPr>
            <w:r>
              <w:t xml:space="preserve">Challenging—shared store dependency</w:t>
            </w:r>
          </w:p>
        </w:tc>
        <w:tc>
          <w:tcPr/>
          <w:p>
            <w:pPr>
              <w:pStyle w:val="Compact"/>
              <w:jc w:val="left"/>
            </w:pPr>
            <w:r>
              <w:t xml:space="preserve">Excellent—each service validates independently</w:t>
            </w:r>
          </w:p>
        </w:tc>
      </w:tr>
      <w:tr>
        <w:tc>
          <w:tcPr/>
          <w:p>
            <w:pPr>
              <w:pStyle w:val="Compact"/>
              <w:jc w:val="left"/>
            </w:pPr>
            <w:r>
              <w:t xml:space="preserve">Per-request latency</w:t>
            </w:r>
          </w:p>
        </w:tc>
        <w:tc>
          <w:tcPr/>
          <w:p>
            <w:pPr>
              <w:pStyle w:val="Compact"/>
              <w:jc w:val="left"/>
            </w:pPr>
            <w:r>
              <w:t xml:space="preserve">~0 ms (local validation)</w:t>
            </w:r>
          </w:p>
        </w:tc>
        <w:tc>
          <w:tcPr/>
          <w:p>
            <w:pPr>
              <w:pStyle w:val="Compact"/>
              <w:jc w:val="left"/>
            </w:pPr>
            <w:r>
              <w:t xml:space="preserve">~1–5 ms (Redis lookup)</w:t>
            </w:r>
          </w:p>
        </w:tc>
        <w:tc>
          <w:tcPr/>
          <w:p>
            <w:pPr>
              <w:pStyle w:val="Compact"/>
              <w:jc w:val="left"/>
            </w:pPr>
            <w:r>
              <w:t xml:space="preserve">~1–5 ms only during refresh</w:t>
            </w:r>
          </w:p>
        </w:tc>
      </w:tr>
    </w:tbl>
    <w:p>
      <w:pPr>
        <w:pStyle w:val="BodyText"/>
      </w:pPr>
      <w:r>
        <w:t xml:space="preserve">The hybrid approach is the recommended pattern for CRP Comply: Redis-backed sessions govern the web application tier for immediate compliance revocation, while short-lived JWT access tokens (15–60 minute expiry) serve CLI and SDK integrations. Passkey authentication, already implemented by CRP Comply, extends this model with WebAuthn-specific session requirements: server-side storage of</w:t>
      </w:r>
      <w:r>
        <w:t xml:space="preserve"> </w:t>
      </w:r>
      <w:r>
        <w:rPr>
          <w:rStyle w:val="VerbatimChar"/>
        </w:rPr>
        <w:t xml:space="preserve">credential_id_hash</w:t>
      </w:r>
      <w:r>
        <w:t xml:space="preserve">, counter validation on every assertion (</w:t>
      </w:r>
      <w:r>
        <w:rPr>
          <w:rStyle w:val="VerbatimChar"/>
        </w:rPr>
        <w:t xml:space="preserve">sign_count</w:t>
      </w:r>
      <w:r>
        <w:t xml:space="preserve"> </w:t>
      </w:r>
      <w:r>
        <w:t xml:space="preserve">comparison), and atomic session ID rotation to prevent fixation attacks</w:t>
      </w:r>
      <w:r>
        <w:t xml:space="preserve"> </w:t>
      </w:r>
      <w:r>
        <w:rPr>
          <w:vertAlign w:val="superscript"/>
        </w:rPr>
        <w:footnoteReference w:id="129"/>
      </w:r>
      <w:r>
        <w:t xml:space="preserve">. This layered session architecture ensures that no single compromise vector—token theft, session hijacking, or credential replay—can cascade across the platform.</w:t>
      </w:r>
    </w:p>
    <w:bookmarkEnd w:id="68"/>
    <w:bookmarkStart w:id="69" w:name="personalization-engine-architecture"/>
    <w:p>
      <w:pPr>
        <w:pStyle w:val="Heading3"/>
      </w:pPr>
      <w:r>
        <w:t xml:space="preserve">6.2 Personalization Engine Architecture</w:t>
      </w:r>
    </w:p>
    <w:p>
      <w:pPr>
        <w:pStyle w:val="FirstParagraph"/>
      </w:pPr>
      <w:r>
        <w:t xml:space="preserve">Personalization in a multi-tenant compliance SaaS operates across four interconnected layers. The</w:t>
      </w:r>
      <w:r>
        <w:t xml:space="preserve"> </w:t>
      </w:r>
      <w:r>
        <w:rPr>
          <w:bCs/>
          <w:b/>
        </w:rPr>
        <w:t xml:space="preserve">user preferences layer</w:t>
      </w:r>
      <w:r>
        <w:t xml:space="preserve"> </w:t>
      </w:r>
      <w:r>
        <w:t xml:space="preserve">stores per-tenant, per-user configuration—UI theme, dashboard layout, notification frequency, and default compliance frameworks—as JSONB documents in PostgreSQL or Redis Hash structures. Critical to this layer is tenant-scoped isolation: every preference key must be prefixed with the tenant identifier (e.g.,</w:t>
      </w:r>
      <w:r>
        <w:t xml:space="preserve"> </w:t>
      </w:r>
      <w:r>
        <w:rPr>
          <w:rStyle w:val="VerbatimChar"/>
        </w:rPr>
        <w:t xml:space="preserve">tenant:{id}:user:{id}:prefs</w:t>
      </w:r>
      <w:r>
        <w:t xml:space="preserve">) to prevent cross-tenant data leakage</w:t>
      </w:r>
      <w:r>
        <w:t xml:space="preserve"> </w:t>
      </w:r>
      <w:r>
        <w:rPr>
          <w:vertAlign w:val="superscript"/>
        </w:rPr>
        <w:footnoteReference w:id="130"/>
      </w:r>
      <w:r>
        <w:t xml:space="preserve"> </w:t>
      </w:r>
      <w:r>
        <w:rPr>
          <w:vertAlign w:val="superscript"/>
        </w:rPr>
        <w:footnoteReference w:id="131"/>
      </w:r>
      <w:r>
        <w:t xml:space="preserve">. Cached preferences should use Redis hash tags (</w:t>
      </w:r>
      <w:r>
        <w:rPr>
          <w:rStyle w:val="VerbatimChar"/>
        </w:rPr>
        <w:t xml:space="preserve">{tenantId}</w:t>
      </w:r>
      <w:r>
        <w:t xml:space="preserve">) to ensure all keys for a single tenant map to the same cluster slot, avoiding</w:t>
      </w:r>
      <w:r>
        <w:t xml:space="preserve"> </w:t>
      </w:r>
      <w:r>
        <w:rPr>
          <w:rStyle w:val="VerbatimChar"/>
        </w:rPr>
        <w:t xml:space="preserve">CROSSSLOT</w:t>
      </w:r>
      <w:r>
        <w:t xml:space="preserve"> </w:t>
      </w:r>
      <w:r>
        <w:t xml:space="preserve">errors in clustered deployments</w:t>
      </w:r>
      <w:r>
        <w:t xml:space="preserve"> </w:t>
      </w:r>
      <w:fldSimple w:instr="NOTEREF _Ref_Footnote_130 \h \f">
        <w:r>
          <w:rPr>
            <w:vertAlign w:val="superscript"/>
          </w:rPr>
          <w:t>130</w:t>
        </w:r>
      </w:fldSimple>
      <w:r>
        <w:t xml:space="preserve">.</w:t>
      </w:r>
    </w:p>
    <w:p>
      <w:pPr>
        <w:pStyle w:val="BodyText"/>
      </w:pPr>
      <w:r>
        <w:t xml:space="preserve">The</w:t>
      </w:r>
      <w:r>
        <w:t xml:space="preserve"> </w:t>
      </w:r>
      <w:r>
        <w:rPr>
          <w:bCs/>
          <w:b/>
        </w:rPr>
        <w:t xml:space="preserve">feature flags layer</w:t>
      </w:r>
      <w:r>
        <w:t xml:space="preserve"> </w:t>
      </w:r>
      <w:r>
        <w:t xml:space="preserve">gates access to compliance recipes, AI capabilities, and UI modules per tier. Self-hosted systems are preferred for compliance SaaS because they remain within the security perimeter. Unleash (Apache 2.0) and GrowthBook (MIT) lead this category: both support tenant-based targeting, gradual rollouts, and environment separation</w:t>
      </w:r>
      <w:r>
        <w:t xml:space="preserve"> </w:t>
      </w:r>
      <w:r>
        <w:rPr>
          <w:vertAlign w:val="superscript"/>
        </w:rPr>
        <w:footnoteReference w:id="132"/>
      </w:r>
      <w:r>
        <w:t xml:space="preserve"> </w:t>
      </w:r>
      <w:r>
        <w:rPr>
          <w:vertAlign w:val="superscript"/>
        </w:rPr>
        <w:footnoteReference w:id="133"/>
      </w:r>
      <w:r>
        <w:t xml:space="preserve"> </w:t>
      </w:r>
      <w:r>
        <w:rPr>
          <w:vertAlign w:val="superscript"/>
        </w:rPr>
        <w:footnoteReference w:id="134"/>
      </w:r>
      <w:r>
        <w:t xml:space="preserve">. LaunchDarkly offers broader SDK coverage but requires proprietary cloud connectivity that may conflict with data residency requirements</w:t>
      </w:r>
      <w:r>
        <w:t xml:space="preserve"> </w:t>
      </w:r>
      <w:fldSimple w:instr="NOTEREF _Ref_Footnote_133 \h \f">
        <w:r>
          <w:rPr>
            <w:vertAlign w:val="superscript"/>
          </w:rPr>
          <w:t>133</w:t>
        </w:r>
      </w:fldSimple>
      <w:r>
        <w:t xml:space="preserve"> </w:t>
      </w:r>
      <w:r>
        <w:rPr>
          <w:vertAlign w:val="superscript"/>
        </w:rPr>
        <w:footnoteReference w:id="135"/>
      </w:r>
      <w:r>
        <w:t xml:space="preserve">.</w:t>
      </w:r>
    </w:p>
    <w:p>
      <w:pPr>
        <w:pStyle w:val="BodyText"/>
      </w:pPr>
      <w:r>
        <w:t xml:space="preserve">The</w:t>
      </w:r>
      <w:r>
        <w:t xml:space="preserve"> </w:t>
      </w:r>
      <w:r>
        <w:rPr>
          <w:bCs/>
          <w:b/>
        </w:rPr>
        <w:t xml:space="preserve">behavioural data layer</w:t>
      </w:r>
      <w:r>
        <w:t xml:space="preserve"> </w:t>
      </w:r>
      <w:r>
        <w:t xml:space="preserve">captures actions—recipe runs, document views, compliance checks—as an append-only event stream. Under GDPR, behavioural data qualifies as personal data requiring configurable per-tenant retention</w:t>
      </w:r>
      <w:r>
        <w:t xml:space="preserve"> </w:t>
      </w:r>
      <w:r>
        <w:rPr>
          <w:vertAlign w:val="superscript"/>
        </w:rPr>
        <w:footnoteReference w:id="136"/>
      </w:r>
      <w:r>
        <w:t xml:space="preserve">. The</w:t>
      </w:r>
      <w:r>
        <w:t xml:space="preserve"> </w:t>
      </w:r>
      <w:r>
        <w:rPr>
          <w:bCs/>
          <w:b/>
        </w:rPr>
        <w:t xml:space="preserve">A/B testing layer</w:t>
      </w:r>
      <w:r>
        <w:t xml:space="preserve"> </w:t>
      </w:r>
      <w:r>
        <w:t xml:space="preserve">experiments on recipe UIs and AI prompt variations via deterministic hashing on</w:t>
      </w:r>
      <w:r>
        <w:t xml:space="preserve"> </w:t>
      </w:r>
      <w:r>
        <w:rPr>
          <w:rStyle w:val="VerbatimChar"/>
        </w:rPr>
        <w:t xml:space="preserve">user_id + experiment_id</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Storage</w:t>
            </w:r>
          </w:p>
        </w:tc>
        <w:tc>
          <w:tcPr/>
          <w:p>
            <w:pPr>
              <w:pStyle w:val="Compact"/>
              <w:jc w:val="left"/>
            </w:pPr>
            <w:r>
              <w:t xml:space="preserve">Isolation Mechanism</w:t>
            </w:r>
          </w:p>
        </w:tc>
        <w:tc>
          <w:tcPr/>
          <w:p>
            <w:pPr>
              <w:pStyle w:val="Compact"/>
              <w:jc w:val="left"/>
            </w:pPr>
            <w:r>
              <w:t xml:space="preserve">Latency Target</w:t>
            </w:r>
          </w:p>
        </w:tc>
      </w:tr>
      <w:tr>
        <w:tc>
          <w:tcPr/>
          <w:p>
            <w:pPr>
              <w:pStyle w:val="Compact"/>
              <w:jc w:val="left"/>
            </w:pPr>
            <w:r>
              <w:t xml:space="preserve">User preferences</w:t>
            </w:r>
          </w:p>
        </w:tc>
        <w:tc>
          <w:tcPr/>
          <w:p>
            <w:pPr>
              <w:pStyle w:val="Compact"/>
              <w:jc w:val="left"/>
            </w:pPr>
            <w:r>
              <w:t xml:space="preserve">Theme, layout, notifications</w:t>
            </w:r>
          </w:p>
        </w:tc>
        <w:tc>
          <w:tcPr/>
          <w:p>
            <w:pPr>
              <w:pStyle w:val="Compact"/>
              <w:jc w:val="left"/>
            </w:pPr>
            <w:r>
              <w:t xml:space="preserve">PostgreSQL JSONB + Redis L2 cache</w:t>
            </w:r>
          </w:p>
        </w:tc>
        <w:tc>
          <w:tcPr/>
          <w:p>
            <w:pPr>
              <w:pStyle w:val="Compact"/>
              <w:jc w:val="left"/>
            </w:pPr>
            <w:r>
              <w:t xml:space="preserve">Tenant-prefixed keys</w:t>
            </w:r>
            <w:r>
              <w:t xml:space="preserve"> </w:t>
            </w:r>
            <w:fldSimple w:instr="NOTEREF _Ref_Footnote_130 \h \f">
              <w:r>
                <w:rPr>
                  <w:vertAlign w:val="superscript"/>
                </w:rPr>
                <w:t>130</w:t>
              </w:r>
            </w:fldSimple>
          </w:p>
        </w:tc>
        <w:tc>
          <w:tcPr/>
          <w:p>
            <w:pPr>
              <w:pStyle w:val="Compact"/>
              <w:jc w:val="left"/>
            </w:pPr>
            <w:r>
              <w:t xml:space="preserve">&lt;5 ms (cached)</w:t>
            </w:r>
          </w:p>
        </w:tc>
      </w:tr>
      <w:tr>
        <w:tc>
          <w:tcPr/>
          <w:p>
            <w:pPr>
              <w:pStyle w:val="Compact"/>
              <w:jc w:val="left"/>
            </w:pPr>
            <w:r>
              <w:t xml:space="preserve">Feature flags</w:t>
            </w:r>
          </w:p>
        </w:tc>
        <w:tc>
          <w:tcPr/>
          <w:p>
            <w:pPr>
              <w:pStyle w:val="Compact"/>
              <w:jc w:val="left"/>
            </w:pPr>
            <w:r>
              <w:t xml:space="preserve">Tier gating, kill switches, gradual rollout</w:t>
            </w:r>
          </w:p>
        </w:tc>
        <w:tc>
          <w:tcPr/>
          <w:p>
            <w:pPr>
              <w:pStyle w:val="Compact"/>
              <w:jc w:val="left"/>
            </w:pPr>
            <w:r>
              <w:t xml:space="preserve">Unleash/GrowthBook self-hosted + Redis</w:t>
            </w:r>
          </w:p>
        </w:tc>
        <w:tc>
          <w:tcPr/>
          <w:p>
            <w:pPr>
              <w:pStyle w:val="Compact"/>
              <w:jc w:val="left"/>
            </w:pPr>
            <w:r>
              <w:t xml:space="preserve">Per-tenant targeting</w:t>
            </w:r>
            <w:r>
              <w:t xml:space="preserve"> </w:t>
            </w:r>
            <w:fldSimple w:instr="NOTEREF _Ref_Footnote_134 \h \f">
              <w:r>
                <w:rPr>
                  <w:vertAlign w:val="superscript"/>
                </w:rPr>
                <w:t>134</w:t>
              </w:r>
            </w:fldSimple>
          </w:p>
        </w:tc>
        <w:tc>
          <w:tcPr/>
          <w:p>
            <w:pPr>
              <w:pStyle w:val="Compact"/>
              <w:jc w:val="left"/>
            </w:pPr>
            <w:r>
              <w:t xml:space="preserve">&lt;2 ms (local evaluation)</w:t>
            </w:r>
          </w:p>
        </w:tc>
      </w:tr>
      <w:tr>
        <w:tc>
          <w:tcPr/>
          <w:p>
            <w:pPr>
              <w:pStyle w:val="Compact"/>
              <w:jc w:val="left"/>
            </w:pPr>
            <w:r>
              <w:t xml:space="preserve">Behavioural targeting</w:t>
            </w:r>
          </w:p>
        </w:tc>
        <w:tc>
          <w:tcPr/>
          <w:p>
            <w:pPr>
              <w:pStyle w:val="Compact"/>
              <w:jc w:val="left"/>
            </w:pPr>
            <w:r>
              <w:t xml:space="preserve">Action history, usage patterns</w:t>
            </w:r>
          </w:p>
        </w:tc>
        <w:tc>
          <w:tcPr/>
          <w:p>
            <w:pPr>
              <w:pStyle w:val="Compact"/>
              <w:jc w:val="left"/>
            </w:pPr>
            <w:r>
              <w:t xml:space="preserve">Redis Streams → PostgreSQL archive</w:t>
            </w:r>
          </w:p>
        </w:tc>
        <w:tc>
          <w:tcPr/>
          <w:p>
            <w:pPr>
              <w:pStyle w:val="Compact"/>
              <w:jc w:val="left"/>
            </w:pPr>
            <w:r>
              <w:t xml:space="preserve">Tenant-scoped event streams</w:t>
            </w:r>
            <w:r>
              <w:t xml:space="preserve"> </w:t>
            </w:r>
            <w:fldSimple w:instr="NOTEREF _Ref_Footnote_136 \h \f">
              <w:r>
                <w:rPr>
                  <w:vertAlign w:val="superscript"/>
                </w:rPr>
                <w:t>136</w:t>
              </w:r>
            </w:fldSimple>
          </w:p>
        </w:tc>
        <w:tc>
          <w:tcPr/>
          <w:p>
            <w:pPr>
              <w:pStyle w:val="Compact"/>
              <w:jc w:val="left"/>
            </w:pPr>
            <w:r>
              <w:t xml:space="preserve">&lt;1 ms (ingestion)</w:t>
            </w:r>
          </w:p>
        </w:tc>
      </w:tr>
      <w:tr>
        <w:tc>
          <w:tcPr/>
          <w:p>
            <w:pPr>
              <w:pStyle w:val="Compact"/>
              <w:jc w:val="left"/>
            </w:pPr>
            <w:r>
              <w:t xml:space="preserve">A/B testing</w:t>
            </w:r>
          </w:p>
        </w:tc>
        <w:tc>
          <w:tcPr/>
          <w:p>
            <w:pPr>
              <w:pStyle w:val="Compact"/>
              <w:jc w:val="left"/>
            </w:pPr>
            <w:r>
              <w:t xml:space="preserve">Experiment assignment, metrics</w:t>
            </w:r>
          </w:p>
        </w:tc>
        <w:tc>
          <w:tcPr/>
          <w:p>
            <w:pPr>
              <w:pStyle w:val="Compact"/>
              <w:jc w:val="left"/>
            </w:pPr>
            <w:r>
              <w:t xml:space="preserve">In-memory hash + PostgreSQL results</w:t>
            </w:r>
          </w:p>
        </w:tc>
        <w:tc>
          <w:tcPr/>
          <w:p>
            <w:pPr>
              <w:pStyle w:val="Compact"/>
              <w:jc w:val="left"/>
            </w:pPr>
            <w:r>
              <w:t xml:space="preserve">Deterministic hash per user</w:t>
            </w:r>
          </w:p>
        </w:tc>
        <w:tc>
          <w:tcPr/>
          <w:p>
            <w:pPr>
              <w:pStyle w:val="Compact"/>
              <w:jc w:val="left"/>
            </w:pPr>
            <w:r>
              <w:t xml:space="preserve">&lt;1 ms (assignment)</w:t>
            </w:r>
          </w:p>
        </w:tc>
      </w:tr>
    </w:tbl>
    <w:p>
      <w:pPr>
        <w:pStyle w:val="BodyText"/>
      </w:pPr>
      <w:r>
        <w:t xml:space="preserve">The data flow assembles a</w:t>
      </w:r>
      <w:r>
        <w:t xml:space="preserve"> </w:t>
      </w:r>
      <w:r>
        <w:rPr>
          <w:bCs/>
          <w:b/>
        </w:rPr>
        <w:t xml:space="preserve">personalisation context</w:t>
      </w:r>
      <w:r>
        <w:t xml:space="preserve"> </w:t>
      </w:r>
      <w:r>
        <w:t xml:space="preserve">on every request: tenant tier determines available features and rate limits; user preferences customise the UI; feature flags control rollout state; and real-time signals (current usage, active sessions) inform dynamic adjustments. A three-tier caching strategy—L1 in-memory for hot tenant configurations (~1–5 μs), L2 Redis for user preferences (~1–5 ms), L3 PostgreSQL for authoritative data (~10–50 ms)—can reduce API latency from 45 ms to 2 ms in production multi-tenant platforms</w:t>
      </w:r>
      <w:r>
        <w:t xml:space="preserve"> </w:t>
      </w:r>
      <w:r>
        <w:rPr>
          <w:vertAlign w:val="superscript"/>
        </w:rPr>
        <w:footnoteReference w:id="137"/>
      </w:r>
      <w:r>
        <w:t xml:space="preserve">.</w:t>
      </w:r>
    </w:p>
    <w:bookmarkEnd w:id="69"/>
    <w:bookmarkStart w:id="73" w:name="real-time-data-pipelines"/>
    <w:p>
      <w:pPr>
        <w:pStyle w:val="Heading3"/>
      </w:pPr>
      <w:r>
        <w:t xml:space="preserve">6.3 Real-Time Data Pipelines</w:t>
      </w:r>
    </w:p>
    <w:p>
      <w:pPr>
        <w:pStyle w:val="FirstParagraph"/>
      </w:pPr>
      <w:r>
        <w:t xml:space="preserve">Every LLM call, compliance scan, and audit event generates a data stream with distinct latency and retention requirements. Benchmarks from 3-node clusters (8 vCPU, 32 GB RAM) position Kafka at 1,200,000 messages per second with 12.5 ms P99 latency; NATS JetStream at 820,000 messages per second and 3.2 ms; and Redis Streams at 480,000 messages per second but with 0.8 ms end-to-end latency</w:t>
      </w:r>
      <w:r>
        <w:t xml:space="preserve"> </w:t>
      </w:r>
      <w:r>
        <w:rPr>
          <w:vertAlign w:val="superscript"/>
        </w:rPr>
        <w:footnoteReference w:id="138"/>
      </w:r>
      <w:r>
        <w:t xml:space="preserve">. Kafka’s immutable log excels for long-term compliance retention (weeks to years); Redis Streams’ sub-millisecond latency suits real-time audit events</w:t>
      </w:r>
      <w:r>
        <w:t xml:space="preserve"> </w:t>
      </w:r>
      <w:r>
        <w:rPr>
          <w:vertAlign w:val="superscript"/>
        </w:rPr>
        <w:footnoteReference w:id="139"/>
      </w:r>
      <w:r>
        <w:t xml:space="preserve">.</w:t>
      </w:r>
    </w:p>
    <w:p>
      <w:pPr>
        <w:pStyle w:val="CaptionedFigure"/>
      </w:pPr>
      <w:r>
        <w:drawing>
          <wp:inline>
            <wp:extent cx="5334000" cy="2097640"/>
            <wp:effectExtent b="0" l="0" r="0" t="0"/>
            <wp:docPr descr="Message broker throughput and latency comparison" title="" id="71" name="Picture"/>
            <a:graphic>
              <a:graphicData uri="http://schemas.openxmlformats.org/drawingml/2006/picture">
                <pic:pic>
                  <pic:nvPicPr>
                    <pic:cNvPr descr="fig_broker_comparison.png" id="72" name="Picture"/>
                    <pic:cNvPicPr>
                      <a:picLocks noChangeArrowheads="1" noChangeAspect="1"/>
                    </pic:cNvPicPr>
                  </pic:nvPicPr>
                  <pic:blipFill>
                    <a:blip r:embed="rId70"/>
                    <a:stretch>
                      <a:fillRect/>
                    </a:stretch>
                  </pic:blipFill>
                  <pic:spPr bwMode="auto">
                    <a:xfrm>
                      <a:off x="0" y="0"/>
                      <a:ext cx="5334000" cy="2097640"/>
                    </a:xfrm>
                    <a:prstGeom prst="rect">
                      <a:avLst/>
                    </a:prstGeom>
                    <a:noFill/>
                    <a:ln w="9525">
                      <a:noFill/>
                      <a:headEnd/>
                      <a:tailEnd/>
                    </a:ln>
                  </pic:spPr>
                </pic:pic>
              </a:graphicData>
            </a:graphic>
          </wp:inline>
        </w:drawing>
      </w:r>
    </w:p>
    <w:p>
      <w:pPr>
        <w:pStyle w:val="ImageCaption"/>
      </w:pPr>
      <w:r>
        <w:t xml:space="preserve">Message broker throughput and latency comparison</w:t>
      </w:r>
    </w:p>
    <w:p>
      <w:pPr>
        <w:pStyle w:val="BodyText"/>
      </w:pPr>
      <w:r>
        <w:rPr>
          <w:iCs/>
          <w:i/>
        </w:rPr>
        <w:t xml:space="preserve">Figure 6.1: Benchmarked throughput and P99 latency for Kafka, NATS JetStream, and Redis Streams (3-node cluster, 8 vCPU, 32 GB RAM). Source: Dev.to</w:t>
      </w:r>
      <w:r>
        <w:rPr>
          <w:iCs/>
          <w:i/>
        </w:rPr>
        <w:t xml:space="preserve"> </w:t>
      </w:r>
      <w:fldSimple w:instr="NOTEREF _Ref_Footnote_138 \h \f">
        <w:r>
          <w:rPr>
            <w:vertAlign w:val="superscript"/>
          </w:rPr>
          <w:t>138</w:t>
        </w:r>
      </w:fldSimple>
      <w:r>
        <w:rPr>
          <w:iCs/>
          <w:i/>
        </w:rPr>
        <w:t xml:space="preserve">and Java Code Geeks</w:t>
      </w:r>
      <w:r>
        <w:rPr>
          <w:iCs/>
          <w:i/>
        </w:rPr>
        <w:t xml:space="preserve"> </w:t>
      </w:r>
      <w:fldSimple w:instr="NOTEREF _Ref_Footnote_139 \h \f">
        <w:r>
          <w:rPr>
            <w:vertAlign w:val="superscript"/>
          </w:rPr>
          <w:t>139</w:t>
        </w:r>
      </w:fldSimple>
      <w:r>
        <w:rPr>
          <w:iCs/>
          <w:i/>
        </w:rPr>
        <w:t xml:space="preserve">2026 benchmarks.</w:t>
      </w:r>
    </w:p>
    <w:p>
      <w:pPr>
        <w:pStyle w:val="BodyText"/>
      </w:pPr>
      <w:r>
        <w:t xml:space="preserve">This throughput–latency trade-off shapes the architecture. Kafka’s disk-persisted log supports replay and exactly-once semantics for compliance-critical events</w:t>
      </w:r>
      <w:r>
        <w:t xml:space="preserve"> </w:t>
      </w:r>
      <w:fldSimple w:instr="NOTEREF _Ref_Footnote_139 \h \f">
        <w:r>
          <w:rPr>
            <w:vertAlign w:val="superscript"/>
          </w:rPr>
          <w:t>139</w:t>
        </w:r>
      </w:fldSimple>
      <w:r>
        <w:t xml:space="preserve">. Redis Streams delivers sub-millisecond events but requires archival to PostgreSQL for multi-year audit trails. CRP Comply should adopt a dual-write pattern: every audit event enters Redis Streams for real-time processing (notifications via SSE, worker dispatch) while asynchronous workers persist to PostgreSQL for long-term archival</w:t>
      </w:r>
      <w:r>
        <w:t xml:space="preserve"> </w:t>
      </w:r>
      <w:fldSimple w:instr="NOTEREF _Ref_Footnote_139 \h \f">
        <w:r>
          <w:rPr>
            <w:vertAlign w:val="superscript"/>
          </w:rPr>
          <w:t>139</w:t>
        </w:r>
      </w:fldSimple>
      <w:r>
        <w:t xml:space="preserve">.</w:t>
      </w:r>
    </w:p>
    <w:p>
      <w:pPr>
        <w:pStyle w:val="BodyText"/>
      </w:pPr>
      <w:r>
        <w:t xml:space="preserve">The event-driven architecture extends to AI operations. SSE serves as the streaming transport for LLM responses—unidirectional server-to-client streaming over HTTP eliminates firewall concerns and provides automatic reconnection via the native EventSource API</w:t>
      </w:r>
      <w:r>
        <w:t xml:space="preserve"> </w:t>
      </w:r>
      <w:r>
        <w:rPr>
          <w:vertAlign w:val="superscript"/>
        </w:rPr>
        <w:footnoteReference w:id="140"/>
      </w:r>
      <w:r>
        <w:t xml:space="preserve">. The STREAM research paper (2026) demonstrates a production three-tier routing architecture: a local model classifies query complexity as LOW, MEDIUM, or HIGH, routing to local, high-performance, or cloud inference tiers</w:t>
      </w:r>
      <w:r>
        <w:t xml:space="preserve"> </w:t>
      </w:r>
      <w:r>
        <w:rPr>
          <w:vertAlign w:val="superscript"/>
        </w:rPr>
        <w:footnoteReference w:id="141"/>
      </w:r>
      <w:r>
        <w:t xml:space="preserve">. This routing reduces costs by 85%+ with automatic failover chains and token-level cost tracking</w:t>
      </w:r>
      <w:r>
        <w:t xml:space="preserve"> </w:t>
      </w:r>
      <w:fldSimple w:instr="NOTEREF _Ref_Footnote_141 \h \f">
        <w:r>
          <w:rPr>
            <w:vertAlign w:val="superscript"/>
          </w:rPr>
          <w:t>141</w:t>
        </w:r>
      </w:fldSimple>
      <w:r>
        <w:t xml:space="preserve">.</w:t>
      </w:r>
    </w:p>
    <w:bookmarkEnd w:id="73"/>
    <w:bookmarkStart w:id="74" w:name="background-jobs-async-processing"/>
    <w:p>
      <w:pPr>
        <w:pStyle w:val="Heading3"/>
      </w:pPr>
      <w:r>
        <w:t xml:space="preserve">6.4 Background Jobs &amp; Async Processing</w:t>
      </w:r>
    </w:p>
    <w:p>
      <w:pPr>
        <w:pStyle w:val="FirstParagraph"/>
      </w:pPr>
      <w:r>
        <w:t xml:space="preserve">Not all compliance operations can complete within an HTTP request cycle. Document generation, evidence scanning, batch compliance checks, and AI analysis all require asynchronous processing with varying complexity profiles. The architecture employs two specialised tools: BullMQ for simple async tasks and Temporal for complex multi-step workflows.</w:t>
      </w:r>
    </w:p>
    <w:p>
      <w:pPr>
        <w:pStyle w:val="BodyText"/>
      </w:pPr>
      <w:r>
        <w:t xml:space="preserve">BullMQ supports worker concurrency up to 100+ jobs per worker, rate limiting per queue, exponential backoff retries, dead letter queues, and cron-style scheduling</w:t>
      </w:r>
      <w:r>
        <w:t xml:space="preserve"> </w:t>
      </w:r>
      <w:r>
        <w:rPr>
          <w:vertAlign w:val="superscript"/>
        </w:rPr>
        <w:footnoteReference w:id="142"/>
      </w:r>
      <w:r>
        <w:t xml:space="preserve">. For CRP Comply, it handles document generation, evidence scanning with configurable retries (</w:t>
      </w:r>
      <w:r>
        <w:rPr>
          <w:rStyle w:val="VerbatimChar"/>
        </w:rPr>
        <w:t xml:space="preserve">attempts: 3</w:t>
      </w:r>
      <w:r>
        <w:t xml:space="preserve">, exponential backoff from 1 s), and scheduled daily scans</w:t>
      </w:r>
      <w:r>
        <w:t xml:space="preserve"> </w:t>
      </w:r>
      <w:fldSimple w:instr="NOTEREF _Ref_Footnote_142 \h \f">
        <w:r>
          <w:rPr>
            <w:vertAlign w:val="superscript"/>
          </w:rPr>
          <w:t>142</w:t>
        </w:r>
      </w:fldSimple>
      <w:r>
        <w:t xml:space="preserve"> </w:t>
      </w:r>
      <w:r>
        <w:rPr>
          <w:vertAlign w:val="superscript"/>
        </w:rPr>
        <w:footnoteReference w:id="143"/>
      </w:r>
      <w:r>
        <w:t xml:space="preserve">. Its events system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stalled</w:t>
      </w:r>
      <w:r>
        <w:t xml:space="preserve">) enables real-time monitoring without external instrumentation.</w:t>
      </w:r>
    </w:p>
    <w:p>
      <w:pPr>
        <w:pStyle w:val="BodyText"/>
      </w:pPr>
      <w:r>
        <w:t xml:space="preserve">Temporal addresses workflows exceeding a single job’s scope. Compliance document approval follows a multi-step lifecycle—Submitted → In Review → Approved/Rejected → (optional resubmission)—with human gates and SLA enforcement</w:t>
      </w:r>
      <w:r>
        <w:t xml:space="preserve"> </w:t>
      </w:r>
      <w:r>
        <w:rPr>
          <w:vertAlign w:val="superscript"/>
        </w:rPr>
        <w:footnoteReference w:id="144"/>
      </w:r>
      <w:r>
        <w:t xml:space="preserve">. Temporal’s durable execution survives process crashes: state is checkpointed after every activity, and interrupted workflows resume precisely where they left off</w:t>
      </w:r>
      <w:r>
        <w:t xml:space="preserve"> </w:t>
      </w:r>
      <w:r>
        <w:rPr>
          <w:vertAlign w:val="superscript"/>
        </w:rPr>
        <w:footnoteReference w:id="145"/>
      </w:r>
      <w:r>
        <w:t xml:space="preserve">. Signal-based approval allows reviewers to submit decisions asynchronously while the workflow awaits with configurable timeouts</w:t>
      </w:r>
      <w:r>
        <w:t xml:space="preserve"> </w:t>
      </w:r>
      <w:fldSimple w:instr="NOTEREF _Ref_Footnote_144 \h \f">
        <w:r>
          <w:rPr>
            <w:vertAlign w:val="superscript"/>
          </w:rPr>
          <w:t>144</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Use case</w:t>
            </w:r>
          </w:p>
        </w:tc>
        <w:tc>
          <w:tcPr/>
          <w:p>
            <w:pPr>
              <w:pStyle w:val="Compact"/>
              <w:jc w:val="left"/>
            </w:pPr>
            <w:r>
              <w:t xml:space="preserve">Recommended tool</w:t>
            </w:r>
          </w:p>
        </w:tc>
        <w:tc>
          <w:tcPr/>
          <w:p>
            <w:pPr>
              <w:pStyle w:val="Compact"/>
              <w:jc w:val="left"/>
            </w:pPr>
            <w:r>
              <w:t xml:space="preserve">Rationale</w:t>
            </w:r>
          </w:p>
        </w:tc>
        <w:tc>
          <w:tcPr/>
          <w:p>
            <w:pPr>
              <w:pStyle w:val="Compact"/>
              <w:jc w:val="left"/>
            </w:pPr>
            <w:r>
              <w:t xml:space="preserve">Concurrency</w:t>
            </w:r>
          </w:p>
        </w:tc>
        <w:tc>
          <w:tcPr/>
          <w:p>
            <w:pPr>
              <w:pStyle w:val="Compact"/>
              <w:jc w:val="left"/>
            </w:pPr>
            <w:r>
              <w:t xml:space="preserve">Retry policy</w:t>
            </w:r>
          </w:p>
        </w:tc>
      </w:tr>
      <w:tr>
        <w:tc>
          <w:tcPr/>
          <w:p>
            <w:pPr>
              <w:pStyle w:val="Compact"/>
              <w:jc w:val="left"/>
            </w:pPr>
            <w:r>
              <w:t xml:space="preserve">Document generation (PDF, DOCX)</w:t>
            </w:r>
          </w:p>
        </w:tc>
        <w:tc>
          <w:tcPr/>
          <w:p>
            <w:pPr>
              <w:pStyle w:val="Compact"/>
              <w:jc w:val="left"/>
            </w:pPr>
            <w:r>
              <w:t xml:space="preserve">BullMQ</w:t>
            </w:r>
          </w:p>
        </w:tc>
        <w:tc>
          <w:tcPr/>
          <w:p>
            <w:pPr>
              <w:pStyle w:val="Compact"/>
              <w:jc w:val="left"/>
            </w:pPr>
            <w:r>
              <w:t xml:space="preserve">Simple task, Redis-native, fast to implement</w:t>
            </w:r>
            <w:r>
              <w:t xml:space="preserve"> </w:t>
            </w:r>
            <w:fldSimple w:instr="NOTEREF _Ref_Footnote_142 \h \f">
              <w:r>
                <w:rPr>
                  <w:vertAlign w:val="superscript"/>
                </w:rPr>
                <w:t>142</w:t>
              </w:r>
            </w:fldSimple>
          </w:p>
        </w:tc>
        <w:tc>
          <w:tcPr/>
          <w:p>
            <w:pPr>
              <w:pStyle w:val="Compact"/>
              <w:jc w:val="left"/>
            </w:pPr>
            <w:r>
              <w:t xml:space="preserve">50–100 workers</w:t>
            </w:r>
          </w:p>
        </w:tc>
        <w:tc>
          <w:tcPr/>
          <w:p>
            <w:pPr>
              <w:pStyle w:val="Compact"/>
              <w:jc w:val="left"/>
            </w:pPr>
            <w:r>
              <w:t xml:space="preserve">Exponential backoff, 3 attempts</w:t>
            </w:r>
          </w:p>
        </w:tc>
      </w:tr>
      <w:tr>
        <w:tc>
          <w:tcPr/>
          <w:p>
            <w:pPr>
              <w:pStyle w:val="Compact"/>
              <w:jc w:val="left"/>
            </w:pPr>
            <w:r>
              <w:t xml:space="preserve">Evidence file scanning</w:t>
            </w:r>
          </w:p>
        </w:tc>
        <w:tc>
          <w:tcPr/>
          <w:p>
            <w:pPr>
              <w:pStyle w:val="Compact"/>
              <w:jc w:val="left"/>
            </w:pPr>
            <w:r>
              <w:t xml:space="preserve">BullMQ</w:t>
            </w:r>
          </w:p>
        </w:tc>
        <w:tc>
          <w:tcPr/>
          <w:p>
            <w:pPr>
              <w:pStyle w:val="Compact"/>
              <w:jc w:val="left"/>
            </w:pPr>
            <w:r>
              <w:t xml:space="preserve">Rate limiting for external API calls, deduplication</w:t>
            </w:r>
            <w:r>
              <w:t xml:space="preserve"> </w:t>
            </w:r>
            <w:fldSimple w:instr="NOTEREF _Ref_Footnote_142 \h \f">
              <w:r>
                <w:rPr>
                  <w:vertAlign w:val="superscript"/>
                </w:rPr>
                <w:t>142</w:t>
              </w:r>
            </w:fldSimple>
          </w:p>
        </w:tc>
        <w:tc>
          <w:tcPr/>
          <w:p>
            <w:pPr>
              <w:pStyle w:val="Compact"/>
              <w:jc w:val="left"/>
            </w:pPr>
            <w:r>
              <w:t xml:space="preserve">20–50 workers</w:t>
            </w:r>
          </w:p>
        </w:tc>
        <w:tc>
          <w:tcPr/>
          <w:p>
            <w:pPr>
              <w:pStyle w:val="Compact"/>
              <w:jc w:val="left"/>
            </w:pPr>
            <w:r>
              <w:t xml:space="preserve">3 attempts, 1s initial delay</w:t>
            </w:r>
          </w:p>
        </w:tc>
      </w:tr>
      <w:tr>
        <w:tc>
          <w:tcPr/>
          <w:p>
            <w:pPr>
              <w:pStyle w:val="Compact"/>
              <w:jc w:val="left"/>
            </w:pPr>
            <w:r>
              <w:t xml:space="preserve">Scheduled daily scans</w:t>
            </w:r>
          </w:p>
        </w:tc>
        <w:tc>
          <w:tcPr/>
          <w:p>
            <w:pPr>
              <w:pStyle w:val="Compact"/>
              <w:jc w:val="left"/>
            </w:pPr>
            <w:r>
              <w:t xml:space="preserve">BullMQ cron</w:t>
            </w:r>
          </w:p>
        </w:tc>
        <w:tc>
          <w:tcPr/>
          <w:p>
            <w:pPr>
              <w:pStyle w:val="Compact"/>
              <w:jc w:val="left"/>
            </w:pPr>
            <w:r>
              <w:t xml:space="preserve">Built-in repeatable jobs with cron syntax</w:t>
            </w:r>
            <w:r>
              <w:t xml:space="preserve"> </w:t>
            </w:r>
            <w:fldSimple w:instr="NOTEREF _Ref_Footnote_142 \h \f">
              <w:r>
                <w:rPr>
                  <w:vertAlign w:val="superscript"/>
                </w:rPr>
                <w:t>142</w:t>
              </w:r>
            </w:fldSimple>
          </w:p>
        </w:tc>
        <w:tc>
          <w:tcPr/>
          <w:p>
            <w:pPr>
              <w:pStyle w:val="Compact"/>
              <w:jc w:val="left"/>
            </w:pPr>
            <w:r>
              <w:t xml:space="preserve">10 workers</w:t>
            </w:r>
          </w:p>
        </w:tc>
        <w:tc>
          <w:tcPr/>
          <w:p>
            <w:pPr>
              <w:pStyle w:val="Compact"/>
              <w:jc w:val="left"/>
            </w:pPr>
            <w:r>
              <w:t xml:space="preserve">Single retry after 5 min</w:t>
            </w:r>
          </w:p>
        </w:tc>
      </w:tr>
      <w:tr>
        <w:tc>
          <w:tcPr/>
          <w:p>
            <w:pPr>
              <w:pStyle w:val="Compact"/>
              <w:jc w:val="left"/>
            </w:pPr>
            <w:r>
              <w:t xml:space="preserve">LLM async analysis</w:t>
            </w:r>
          </w:p>
        </w:tc>
        <w:tc>
          <w:tcPr/>
          <w:p>
            <w:pPr>
              <w:pStyle w:val="Compact"/>
              <w:jc w:val="left"/>
            </w:pPr>
            <w:r>
              <w:t xml:space="preserve">BullMQ</w:t>
            </w:r>
          </w:p>
        </w:tc>
        <w:tc>
          <w:tcPr/>
          <w:p>
            <w:pPr>
              <w:pStyle w:val="Compact"/>
              <w:jc w:val="left"/>
            </w:pPr>
            <w:r>
              <w:t xml:space="preserve">Queue with model failover chain</w:t>
            </w:r>
            <w:r>
              <w:t xml:space="preserve"> </w:t>
            </w:r>
            <w:fldSimple w:instr="NOTEREF _Ref_Footnote_142 \h \f">
              <w:r>
                <w:rPr>
                  <w:vertAlign w:val="superscript"/>
                </w:rPr>
                <w:t>142</w:t>
              </w:r>
            </w:fldSimple>
          </w:p>
        </w:tc>
        <w:tc>
          <w:tcPr/>
          <w:p>
            <w:pPr>
              <w:pStyle w:val="Compact"/>
              <w:jc w:val="left"/>
            </w:pPr>
            <w:r>
              <w:t xml:space="preserve">50 workers</w:t>
            </w:r>
          </w:p>
        </w:tc>
        <w:tc>
          <w:tcPr/>
          <w:p>
            <w:pPr>
              <w:pStyle w:val="Compact"/>
              <w:jc w:val="left"/>
            </w:pPr>
            <w:r>
              <w:t xml:space="preserve">3 attempts, cascading models</w:t>
            </w:r>
          </w:p>
        </w:tc>
      </w:tr>
      <w:tr>
        <w:tc>
          <w:tcPr/>
          <w:p>
            <w:pPr>
              <w:pStyle w:val="Compact"/>
              <w:jc w:val="left"/>
            </w:pPr>
            <w:r>
              <w:t xml:space="preserve">Document approval workflow</w:t>
            </w:r>
          </w:p>
        </w:tc>
        <w:tc>
          <w:tcPr/>
          <w:p>
            <w:pPr>
              <w:pStyle w:val="Compact"/>
              <w:jc w:val="left"/>
            </w:pPr>
            <w:r>
              <w:t xml:space="preserve">Temporal</w:t>
            </w:r>
          </w:p>
        </w:tc>
        <w:tc>
          <w:tcPr/>
          <w:p>
            <w:pPr>
              <w:pStyle w:val="Compact"/>
              <w:jc w:val="left"/>
            </w:pPr>
            <w:r>
              <w:t xml:space="preserve">Human-in-the-loop, durable execution, saga pattern</w:t>
            </w:r>
            <w:r>
              <w:t xml:space="preserve"> </w:t>
            </w:r>
            <w:fldSimple w:instr="NOTEREF _Ref_Footnote_144 \h \f">
              <w:r>
                <w:rPr>
                  <w:vertAlign w:val="superscript"/>
                </w:rPr>
                <w:t>144</w:t>
              </w:r>
            </w:fldSimple>
          </w:p>
        </w:tc>
        <w:tc>
          <w:tcPr/>
          <w:p>
            <w:pPr>
              <w:pStyle w:val="Compact"/>
              <w:jc w:val="left"/>
            </w:pPr>
            <w:r>
              <w:t xml:space="preserve">Workflow-scoped</w:t>
            </w:r>
          </w:p>
        </w:tc>
        <w:tc>
          <w:tcPr/>
          <w:p>
            <w:pPr>
              <w:pStyle w:val="Compact"/>
              <w:jc w:val="left"/>
            </w:pPr>
            <w:r>
              <w:t xml:space="preserve">Per-activity configurable</w:t>
            </w:r>
          </w:p>
        </w:tc>
      </w:tr>
      <w:tr>
        <w:tc>
          <w:tcPr/>
          <w:p>
            <w:pPr>
              <w:pStyle w:val="Compact"/>
              <w:jc w:val="left"/>
            </w:pPr>
            <w:r>
              <w:t xml:space="preserve">Multi-framework compliance audit</w:t>
            </w:r>
          </w:p>
        </w:tc>
        <w:tc>
          <w:tcPr/>
          <w:p>
            <w:pPr>
              <w:pStyle w:val="Compact"/>
              <w:jc w:val="left"/>
            </w:pPr>
            <w:r>
              <w:t xml:space="preserve">Temporal</w:t>
            </w:r>
          </w:p>
        </w:tc>
        <w:tc>
          <w:tcPr/>
          <w:p>
            <w:pPr>
              <w:pStyle w:val="Compact"/>
              <w:jc w:val="left"/>
            </w:pPr>
            <w:r>
              <w:t xml:space="preserve">Multi-step with checkpoints, SLA enforcement</w:t>
            </w:r>
            <w:r>
              <w:t xml:space="preserve"> </w:t>
            </w:r>
            <w:fldSimple w:instr="NOTEREF _Ref_Footnote_144 \h \f">
              <w:r>
                <w:rPr>
                  <w:vertAlign w:val="superscript"/>
                </w:rPr>
                <w:t>144</w:t>
              </w:r>
            </w:fldSimple>
          </w:p>
        </w:tc>
        <w:tc>
          <w:tcPr/>
          <w:p>
            <w:pPr>
              <w:pStyle w:val="Compact"/>
              <w:jc w:val="left"/>
            </w:pPr>
            <w:r>
              <w:t xml:space="preserve">Workflow-scoped</w:t>
            </w:r>
          </w:p>
        </w:tc>
        <w:tc>
          <w:tcPr/>
          <w:p>
            <w:pPr>
              <w:pStyle w:val="Compact"/>
              <w:jc w:val="left"/>
            </w:pPr>
            <w:r>
              <w:t xml:space="preserve">Automatic replay on crash</w:t>
            </w:r>
          </w:p>
        </w:tc>
      </w:tr>
      <w:tr>
        <w:tc>
          <w:tcPr/>
          <w:p>
            <w:pPr>
              <w:pStyle w:val="Compact"/>
              <w:jc w:val="left"/>
            </w:pPr>
            <w:r>
              <w:t xml:space="preserve">Cross-system evidence sync</w:t>
            </w:r>
          </w:p>
        </w:tc>
        <w:tc>
          <w:tcPr/>
          <w:p>
            <w:pPr>
              <w:pStyle w:val="Compact"/>
              <w:jc w:val="left"/>
            </w:pPr>
            <w:r>
              <w:t xml:space="preserve">Temporal</w:t>
            </w:r>
          </w:p>
        </w:tc>
        <w:tc>
          <w:tcPr/>
          <w:p>
            <w:pPr>
              <w:pStyle w:val="Compact"/>
              <w:jc w:val="left"/>
            </w:pPr>
            <w:r>
              <w:t xml:space="preserve">Saga pattern for distributed transactions</w:t>
            </w:r>
            <w:r>
              <w:t xml:space="preserve"> </w:t>
            </w:r>
            <w:fldSimple w:instr="NOTEREF _Ref_Footnote_145 \h \f">
              <w:r>
                <w:rPr>
                  <w:vertAlign w:val="superscript"/>
                </w:rPr>
                <w:t>145</w:t>
              </w:r>
            </w:fldSimple>
          </w:p>
        </w:tc>
        <w:tc>
          <w:tcPr/>
          <w:p>
            <w:pPr>
              <w:pStyle w:val="Compact"/>
              <w:jc w:val="left"/>
            </w:pPr>
            <w:r>
              <w:t xml:space="preserve">Workflow-scoped</w:t>
            </w:r>
          </w:p>
        </w:tc>
        <w:tc>
          <w:tcPr/>
          <w:p>
            <w:pPr>
              <w:pStyle w:val="Compact"/>
              <w:jc w:val="left"/>
            </w:pPr>
            <w:r>
              <w:t xml:space="preserve">Compensating transactions</w:t>
            </w:r>
          </w:p>
        </w:tc>
      </w:tr>
    </w:tbl>
    <w:p>
      <w:pPr>
        <w:pStyle w:val="BodyText"/>
      </w:pPr>
      <w:r>
        <w:t xml:space="preserve">The AI request lifecycle integrates both tools. Streaming responses flow via SSE with first-chunk optimisation</w:t>
      </w:r>
      <w:r>
        <w:t xml:space="preserve"> </w:t>
      </w:r>
      <w:fldSimple w:instr="NOTEREF _Ref_Footnote_140 \h \f">
        <w:r>
          <w:rPr>
            <w:vertAlign w:val="superscript"/>
          </w:rPr>
          <w:t>140</w:t>
        </w:r>
      </w:fldSimple>
      <w:r>
        <w:t xml:space="preserve">. Async AI jobs—batch compliance classification, evidence review—enter BullMQ with tiered model failover: primary (GPT-4, 30 s timeout) → secondary (GPT-3.5, 15 s) → tertiary (local model, 60 s) → cached response → graceful error</w:t>
      </w:r>
      <w:r>
        <w:t xml:space="preserve"> </w:t>
      </w:r>
      <w:fldSimple w:instr="NOTEREF _Ref_Footnote_141 \h \f">
        <w:r>
          <w:rPr>
            <w:vertAlign w:val="superscript"/>
          </w:rPr>
          <w:t>141</w:t>
        </w:r>
      </w:fldSimple>
      <w:r>
        <w:t xml:space="preserve">. Token counting uses</w:t>
      </w:r>
      <w:r>
        <w:t xml:space="preserve"> </w:t>
      </w:r>
      <w:r>
        <w:rPr>
          <w:rStyle w:val="VerbatimChar"/>
        </w:rPr>
        <w:t xml:space="preserve">stream_options: { include_usage: true }</w:t>
      </w:r>
      <w:r>
        <w:t xml:space="preserve"> </w:t>
      </w:r>
      <w:r>
        <w:t xml:space="preserve">where supported; Kong AI Gateway estimates for providers that omit streaming counts</w:t>
      </w:r>
      <w:r>
        <w:t xml:space="preserve"> </w:t>
      </w:r>
      <w:r>
        <w:rPr>
          <w:vertAlign w:val="superscript"/>
        </w:rPr>
        <w:footnoteReference w:id="146"/>
      </w:r>
      <w:r>
        <w:t xml:space="preserve">. Per-tenant cost tracking via Redis atomic increments (</w:t>
      </w:r>
      <w:r>
        <w:rPr>
          <w:rStyle w:val="VerbatimChar"/>
        </w:rPr>
        <w:t xml:space="preserve">HINCRBY</w:t>
      </w:r>
      <w:r>
        <w:t xml:space="preserve">) enforces tier budgets: Free (~100 calls, GPT-3.5 only, hard stop), Starter (~5,000 calls, limited GPT-4, graceful throttle), Scale (~50,000 calls, full access, soft limit), and Enterprise (custom, dedicated capacity)</w:t>
      </w:r>
      <w:r>
        <w:t xml:space="preserve"> </w:t>
      </w:r>
      <w:fldSimple w:instr="NOTEREF _Ref_Footnote_141 \h \f">
        <w:r>
          <w:rPr>
            <w:vertAlign w:val="superscript"/>
          </w:rPr>
          <w:t>141</w:t>
        </w:r>
      </w:fldSimple>
      <w:r>
        <w:t xml:space="preserve">.</w:t>
      </w:r>
    </w:p>
    <w:p>
      <w:pPr>
        <w:pStyle w:val="BodyText"/>
      </w:pPr>
      <w:r>
        <w:t xml:space="preserve">This architecture connects directly to subsequent chapters. Session management patterns link to Chapter 8’s security deep-dive through passkey binding and HMAC audit chains. Tenant isolation and caching provide the foundation for Chapter 7’s multi-tenancy implementation. Together, these backend decisions ensure frontend innovations—streaming assistance, optimistic interfaces, millisecond command palettes—remain performant and secure as CRP Comply scales.</w:t>
      </w:r>
    </w:p>
    <w:p>
      <w:r>
        <w:pict>
          <v:rect style="width:0;height:1.5pt" o:hralign="center" o:hrstd="t" o:hr="t"/>
        </w:pict>
      </w:r>
    </w:p>
    <w:bookmarkEnd w:id="74"/>
    <w:bookmarkEnd w:id="75"/>
    <w:bookmarkStart w:id="80" w:name="X0a3015e0e22c408e0fbb323be091853c98d2821"/>
    <w:p>
      <w:pPr>
        <w:pStyle w:val="Heading2"/>
      </w:pPr>
      <w:r>
        <w:t xml:space="preserve">7. Multi-Tenancy &amp; Data Isolation for Personalized Experiences</w:t>
      </w:r>
    </w:p>
    <w:bookmarkStart w:id="76" w:name="tiered-tenant-isolation"/>
    <w:p>
      <w:pPr>
        <w:pStyle w:val="Heading3"/>
      </w:pPr>
      <w:r>
        <w:t xml:space="preserve">7.1 Tiered Tenant Isolation</w:t>
      </w:r>
    </w:p>
    <w:p>
      <w:pPr>
        <w:pStyle w:val="FirstParagraph"/>
      </w:pPr>
      <w:r>
        <w:t xml:space="preserve">Multi-tenant SaaS architectures face a fundamental tension: operational efficiency demands resource sharing, yet compliance obligations require rigorous data separation. For CRP Comply, serving four pricing tiers from a free individual plan to enterprise deployments, a single isolation model is insufficient. The dominant pattern at scale is a tiered strategy mapping isolation strength to customer segment</w:t>
      </w:r>
      <w:r>
        <w:t xml:space="preserve"> </w:t>
      </w:r>
      <w:fldSimple w:instr="NOTEREF _Ref_Footnote_34 \h \f">
        <w:r>
          <w:rPr>
            <w:vertAlign w:val="superscript"/>
          </w:rPr>
          <w:t>34</w:t>
        </w:r>
      </w:fldSimple>
      <w:r>
        <w:t xml:space="preserve">.</w:t>
      </w:r>
    </w:p>
    <w:p>
      <w:pPr>
        <w:pStyle w:val="BodyText"/>
      </w:pPr>
      <w:r>
        <w:t xml:space="preserve">PostgreSQL Row-Level Security (RLS) serves as the foundational defence-in-depth mechanism across all tiers. RLS policies append a tenant filter to every database query, ensuring that even if application code omits a tenant boundary, the database enforces isolation at the row level</w:t>
      </w:r>
      <w:r>
        <w:t xml:space="preserve"> </w:t>
      </w:r>
      <w:r>
        <w:rPr>
          <w:vertAlign w:val="superscript"/>
        </w:rPr>
        <w:footnoteReference w:id="147"/>
      </w:r>
      <w:r>
        <w:t xml:space="preserve">. The recommended implementation uses</w:t>
      </w:r>
      <w:r>
        <w:t xml:space="preserve"> </w:t>
      </w:r>
      <w:r>
        <w:rPr>
          <w:rStyle w:val="VerbatimChar"/>
        </w:rPr>
        <w:t xml:space="preserve">SECURITY DEFINER</w:t>
      </w:r>
      <w:r>
        <w:t xml:space="preserve"> </w:t>
      </w:r>
      <w:r>
        <w:t xml:space="preserve">functions marked</w:t>
      </w:r>
      <w:r>
        <w:t xml:space="preserve"> </w:t>
      </w:r>
      <w:r>
        <w:rPr>
          <w:rStyle w:val="VerbatimChar"/>
        </w:rPr>
        <w:t xml:space="preserve">STABLE</w:t>
      </w:r>
      <w:r>
        <w:t xml:space="preserve">, which are evaluated once per query rather than per row — a distinction that separates 45 ms response times from 450 ms degradation on datasets of 10{,}000 rows</w:t>
      </w:r>
      <w:r>
        <w:t xml:space="preserve"> </w:t>
      </w:r>
      <w:r>
        <w:rPr>
          <w:vertAlign w:val="superscript"/>
        </w:rPr>
        <w:footnoteReference w:id="148"/>
      </w:r>
      <w:r>
        <w:t xml:space="preserve"> </w:t>
      </w:r>
      <w:r>
        <w:rPr>
          <w:vertAlign w:val="superscript"/>
        </w:rPr>
        <w:footnoteReference w:id="149"/>
      </w:r>
      <w:r>
        <w:t xml:space="preserve">. All tenant-scoped tables — audit logs, compliance recipes, vault documents — carry a</w:t>
      </w:r>
      <w:r>
        <w:t xml:space="preserve"> </w:t>
      </w:r>
      <w:r>
        <w:rPr>
          <w:rStyle w:val="VerbatimChar"/>
        </w:rPr>
        <w:t xml:space="preserve">tenant_id</w:t>
      </w:r>
      <w:r>
        <w:t xml:space="preserve"> </w:t>
      </w:r>
      <w:r>
        <w:t xml:space="preserve">column with indexed lookups to prevent sequential scans</w:t>
      </w:r>
      <w:r>
        <w:t xml:space="preserve"> </w:t>
      </w:r>
      <w:fldSimple w:instr="NOTEREF _Ref_Footnote_148 \h \f">
        <w:r>
          <w:rPr>
            <w:vertAlign w:val="superscript"/>
          </w:rPr>
          <w:t>148</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Free / Starter</w:t>
            </w:r>
          </w:p>
        </w:tc>
        <w:tc>
          <w:tcPr/>
          <w:p>
            <w:pPr>
              <w:pStyle w:val="Compact"/>
              <w:jc w:val="left"/>
            </w:pPr>
            <w:r>
              <w:t xml:space="preserve">Scale</w:t>
            </w:r>
          </w:p>
        </w:tc>
        <w:tc>
          <w:tcPr/>
          <w:p>
            <w:pPr>
              <w:pStyle w:val="Compact"/>
              <w:jc w:val="left"/>
            </w:pPr>
            <w:r>
              <w:t xml:space="preserve">Enterprise</w:t>
            </w:r>
          </w:p>
        </w:tc>
      </w:tr>
      <w:tr>
        <w:tc>
          <w:tcPr/>
          <w:p>
            <w:pPr>
              <w:pStyle w:val="Compact"/>
              <w:jc w:val="left"/>
            </w:pPr>
            <w:r>
              <w:rPr>
                <w:bCs/>
                <w:b/>
              </w:rPr>
              <w:t xml:space="preserve">Isolation model</w:t>
            </w:r>
          </w:p>
        </w:tc>
        <w:tc>
          <w:tcPr/>
          <w:p>
            <w:pPr>
              <w:pStyle w:val="Compact"/>
              <w:jc w:val="left"/>
            </w:pPr>
            <w:r>
              <w:t xml:space="preserve">Shared schema + RLS</w:t>
            </w:r>
          </w:p>
        </w:tc>
        <w:tc>
          <w:tcPr/>
          <w:p>
            <w:pPr>
              <w:pStyle w:val="Compact"/>
              <w:jc w:val="left"/>
            </w:pPr>
            <w:r>
              <w:t xml:space="preserve">Schema-per-tenant</w:t>
            </w:r>
          </w:p>
        </w:tc>
        <w:tc>
          <w:tcPr/>
          <w:p>
            <w:pPr>
              <w:pStyle w:val="Compact"/>
              <w:jc w:val="left"/>
            </w:pPr>
            <w:r>
              <w:t xml:space="preserve">DB-per-tenant</w:t>
            </w:r>
          </w:p>
        </w:tc>
      </w:tr>
      <w:tr>
        <w:tc>
          <w:tcPr/>
          <w:p>
            <w:pPr>
              <w:pStyle w:val="Compact"/>
              <w:jc w:val="left"/>
            </w:pPr>
            <w:r>
              <w:rPr>
                <w:bCs/>
                <w:b/>
              </w:rPr>
              <w:t xml:space="preserve">Boundary enforcement</w:t>
            </w:r>
          </w:p>
        </w:tc>
        <w:tc>
          <w:tcPr/>
          <w:p>
            <w:pPr>
              <w:pStyle w:val="Compact"/>
              <w:jc w:val="left"/>
            </w:pPr>
            <w:r>
              <w:t xml:space="preserve">Logical (RLS policies)</w:t>
            </w:r>
          </w:p>
        </w:tc>
        <w:tc>
          <w:tcPr/>
          <w:p>
            <w:pPr>
              <w:pStyle w:val="Compact"/>
              <w:jc w:val="left"/>
            </w:pPr>
            <w:r>
              <w:t xml:space="preserve">Logical (schema separation)</w:t>
            </w:r>
          </w:p>
        </w:tc>
        <w:tc>
          <w:tcPr/>
          <w:p>
            <w:pPr>
              <w:pStyle w:val="Compact"/>
              <w:jc w:val="left"/>
            </w:pPr>
            <w:r>
              <w:t xml:space="preserve">Physical (database boundary)</w:t>
            </w:r>
          </w:p>
        </w:tc>
      </w:tr>
      <w:tr>
        <w:tc>
          <w:tcPr/>
          <w:p>
            <w:pPr>
              <w:pStyle w:val="Compact"/>
              <w:jc w:val="left"/>
            </w:pPr>
            <w:r>
              <w:rPr>
                <w:bCs/>
                <w:b/>
              </w:rPr>
              <w:t xml:space="preserve">BYOK support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(dedicated key)</w:t>
            </w:r>
          </w:p>
        </w:tc>
      </w:tr>
      <w:tr>
        <w:tc>
          <w:tcPr/>
          <w:p>
            <w:pPr>
              <w:pStyle w:val="Compact"/>
              <w:jc w:val="left"/>
            </w:pPr>
            <w:r>
              <w:rPr>
                <w:bCs/>
                <w:b/>
              </w:rPr>
              <w:t xml:space="preserve">Noisy-neighbor risk</w:t>
            </w:r>
          </w:p>
        </w:tc>
        <w:tc>
          <w:tcPr/>
          <w:p>
            <w:pPr>
              <w:pStyle w:val="Compact"/>
              <w:jc w:val="left"/>
            </w:pPr>
            <w:r>
              <w:t xml:space="preserve">Low (RLS-enforced)</w:t>
            </w:r>
          </w:p>
        </w:tc>
        <w:tc>
          <w:tcPr/>
          <w:p>
            <w:pPr>
              <w:pStyle w:val="Compact"/>
              <w:jc w:val="left"/>
            </w:pPr>
            <w:r>
              <w:t xml:space="preserve">None within schema</w:t>
            </w:r>
          </w:p>
        </w:tc>
        <w:tc>
          <w:tcPr/>
          <w:p>
            <w:pPr>
              <w:pStyle w:val="Compact"/>
              <w:jc w:val="left"/>
            </w:pPr>
            <w:r>
              <w:t xml:space="preserve">None</w:t>
            </w:r>
          </w:p>
        </w:tc>
      </w:tr>
      <w:tr>
        <w:tc>
          <w:tcPr/>
          <w:p>
            <w:pPr>
              <w:pStyle w:val="Compact"/>
              <w:jc w:val="left"/>
            </w:pPr>
            <w:r>
              <w:rPr>
                <w:bCs/>
                <w:b/>
              </w:rPr>
              <w:t xml:space="preserve">Provisioning time</w:t>
            </w:r>
          </w:p>
        </w:tc>
        <w:tc>
          <w:tcPr/>
          <w:p>
            <w:pPr>
              <w:pStyle w:val="Compact"/>
              <w:jc w:val="left"/>
            </w:pPr>
            <w:r>
              <w:t xml:space="preserve">Instant</w:t>
            </w:r>
          </w:p>
        </w:tc>
        <w:tc>
          <w:tcPr/>
          <w:p>
            <w:pPr>
              <w:pStyle w:val="Compact"/>
              <w:jc w:val="left"/>
            </w:pPr>
            <w:r>
              <w:t xml:space="preserve">Seconds</w:t>
            </w:r>
          </w:p>
        </w:tc>
        <w:tc>
          <w:tcPr/>
          <w:p>
            <w:pPr>
              <w:pStyle w:val="Compact"/>
              <w:jc w:val="left"/>
            </w:pPr>
            <w:r>
              <w:t xml:space="preserve">Minutes</w:t>
            </w:r>
          </w:p>
        </w:tc>
      </w:tr>
      <w:tr>
        <w:tc>
          <w:tcPr/>
          <w:p>
            <w:pPr>
              <w:pStyle w:val="Compact"/>
              <w:jc w:val="left"/>
            </w:pPr>
            <w:r>
              <w:rPr>
                <w:bCs/>
                <w:b/>
              </w:rPr>
              <w:t xml:space="preserve">Schema migration</w:t>
            </w:r>
          </w:p>
        </w:tc>
        <w:tc>
          <w:tcPr/>
          <w:p>
            <w:pPr>
              <w:pStyle w:val="Compact"/>
              <w:jc w:val="left"/>
            </w:pPr>
            <w:r>
              <w:t xml:space="preserve">One migration, all tenants</w:t>
            </w:r>
          </w:p>
        </w:tc>
        <w:tc>
          <w:tcPr/>
          <w:p>
            <w:pPr>
              <w:pStyle w:val="Compact"/>
              <w:jc w:val="left"/>
            </w:pPr>
            <w:r>
              <w:t xml:space="preserve">Per-schema migration</w:t>
            </w:r>
          </w:p>
        </w:tc>
        <w:tc>
          <w:tcPr/>
          <w:p>
            <w:pPr>
              <w:pStyle w:val="Compact"/>
              <w:jc w:val="left"/>
            </w:pPr>
            <w:r>
              <w:t xml:space="preserve">Per-database migration</w:t>
            </w:r>
          </w:p>
        </w:tc>
      </w:tr>
      <w:tr>
        <w:tc>
          <w:tcPr/>
          <w:p>
            <w:pPr>
              <w:pStyle w:val="Compact"/>
              <w:jc w:val="left"/>
            </w:pPr>
            <w:r>
              <w:rPr>
                <w:bCs/>
                <w:b/>
              </w:rPr>
              <w:t xml:space="preserve">Compliance posture</w:t>
            </w:r>
          </w:p>
        </w:tc>
        <w:tc>
          <w:tcPr/>
          <w:p>
            <w:pPr>
              <w:pStyle w:val="Compact"/>
              <w:jc w:val="left"/>
            </w:pPr>
            <w:r>
              <w:t xml:space="preserve">RLS as defence-in-depth</w:t>
            </w:r>
          </w:p>
        </w:tc>
        <w:tc>
          <w:tcPr/>
          <w:p>
            <w:pPr>
              <w:pStyle w:val="Compact"/>
              <w:jc w:val="left"/>
            </w:pPr>
            <w:r>
              <w:t xml:space="preserve">Stronger audit separation</w:t>
            </w:r>
          </w:p>
        </w:tc>
        <w:tc>
          <w:tcPr/>
          <w:p>
            <w:pPr>
              <w:pStyle w:val="Compact"/>
              <w:jc w:val="left"/>
            </w:pPr>
            <w:r>
              <w:t xml:space="preserve">Contractual physical isolation</w:t>
            </w:r>
          </w:p>
        </w:tc>
      </w:tr>
    </w:tbl>
    <w:p>
      <w:pPr>
        <w:pStyle w:val="BodyText"/>
      </w:pPr>
      <w:r>
        <w:t xml:space="preserve">Shared schema with RLS is the recommended starting point for SaaS platforms serving fewer than 1{,}000 tenants, offering the lowest operational overhead while maintaining logical isolation</w:t>
      </w:r>
      <w:r>
        <w:t xml:space="preserve"> </w:t>
      </w:r>
      <w:r>
        <w:rPr>
          <w:vertAlign w:val="superscript"/>
        </w:rPr>
        <w:footnoteReference w:id="150"/>
      </w:r>
      <w:r>
        <w:t xml:space="preserve">. Schema-per-tenant suits mid-market clients requiring stronger audit guarantees</w:t>
      </w:r>
      <w:r>
        <w:t xml:space="preserve"> </w:t>
      </w:r>
      <w:r>
        <w:rPr>
          <w:vertAlign w:val="superscript"/>
        </w:rPr>
        <w:footnoteReference w:id="151"/>
      </w:r>
      <w:r>
        <w:t xml:space="preserve">. Database-per-tenant introduces significant migration overhead — schema changes must propagate across every tenant database individually — but delivers the physical separation and Bring Your Own Key (BYOK) capability enterprise procurement teams demand</w:t>
      </w:r>
      <w:r>
        <w:t xml:space="preserve"> </w:t>
      </w:r>
      <w:fldSimple w:instr="NOTEREF _Ref_Footnote_151 \h \f">
        <w:r>
          <w:rPr>
            <w:vertAlign w:val="superscript"/>
          </w:rPr>
          <w:t>151</w:t>
        </w:r>
      </w:fldSimple>
      <w:r>
        <w:t xml:space="preserve">. RLS remains active even in the Enterprise tier as a defence-in-depth layer</w:t>
      </w:r>
      <w:r>
        <w:t xml:space="preserve"> </w:t>
      </w:r>
      <w:r>
        <w:rPr>
          <w:vertAlign w:val="superscript"/>
        </w:rPr>
        <w:footnoteReference w:id="152"/>
      </w:r>
      <w:r>
        <w:t xml:space="preserve">.</w:t>
      </w:r>
    </w:p>
    <w:bookmarkEnd w:id="76"/>
    <w:bookmarkStart w:id="77" w:name="per-tenant-personalization"/>
    <w:p>
      <w:pPr>
        <w:pStyle w:val="Heading3"/>
      </w:pPr>
      <w:r>
        <w:t xml:space="preserve">7.2 Per-Tenant Personalization</w:t>
      </w:r>
    </w:p>
    <w:p>
      <w:pPr>
        <w:pStyle w:val="FirstParagraph"/>
      </w:pPr>
      <w:r>
        <w:t xml:space="preserve">Tenant isolation enables feature gating — the restriction of functionality based on what a customer has paid for, distinct from feature flags that control release readiness</w:t>
      </w:r>
      <w:r>
        <w:t xml:space="preserve"> </w:t>
      </w:r>
      <w:r>
        <w:rPr>
          <w:vertAlign w:val="superscript"/>
        </w:rPr>
        <w:footnoteReference w:id="153"/>
      </w:r>
      <w:r>
        <w:t xml:space="preserve">. CRP Comply employs a centralized capability store that resolves, at runtime, which features and quotas apply to each tenant. This prevents</w:t>
      </w:r>
      <w:r>
        <w:t xml:space="preserve"> </w:t>
      </w:r>
      <w:r>
        <w:t xml:space="preserve">“</w:t>
      </w:r>
      <w:r>
        <w:t xml:space="preserve">architectural drift</w:t>
      </w:r>
      <w:r>
        <w:t xml:space="preserve">”</w:t>
      </w:r>
      <w:r>
        <w:t xml:space="preserve"> </w:t>
      </w:r>
      <w:r>
        <w:t xml:space="preserve">— the uncontrolled proliferation of configuration states that occurs when tenant variability is introduced without an explicit variability model, eventually exceeding practical limits for reasoning and testing</w:t>
      </w:r>
      <w:r>
        <w:t xml:space="preserve"> </w:t>
      </w:r>
      <w:r>
        <w:rPr>
          <w:vertAlign w:val="superscript"/>
        </w:rPr>
        <w:footnoteReference w:id="154"/>
      </w:r>
      <w:r>
        <w:t xml:space="preserve">.</w:t>
      </w:r>
    </w:p>
    <w:p>
      <w:pPr>
        <w:pStyle w:val="BodyText"/>
      </w:pPr>
      <w:r>
        <w:t xml:space="preserve">Resource quotas are enforced through distributed Redis counters scoped to each tenant via prefixed keys (</w:t>
      </w:r>
      <w:r>
        <w:rPr>
          <w:rStyle w:val="VerbatimChar"/>
        </w:rPr>
        <w:t xml:space="preserve">quota:{tenantId}:{resource}:{period}</w:t>
      </w:r>
      <w:r>
        <w:t xml:space="preserve">). The enforcer increments the counter on every API call, compares it against the tier limit, and either permits the request or returns a</w:t>
      </w:r>
      <w:r>
        <w:t xml:space="preserve"> </w:t>
      </w:r>
      <w:r>
        <w:rPr>
          <w:rStyle w:val="VerbatimChar"/>
        </w:rPr>
        <w:t xml:space="preserve">QUOTA_EXCEEDED</w:t>
      </w:r>
      <w:r>
        <w:t xml:space="preserve"> </w:t>
      </w:r>
      <w:r>
        <w:t xml:space="preserve">response with an upgrade prompt</w:t>
      </w:r>
      <w:r>
        <w:t xml:space="preserve"> </w:t>
      </w:r>
      <w:r>
        <w:rPr>
          <w:vertAlign w:val="superscript"/>
        </w:rPr>
        <w:footnoteReference w:id="155"/>
      </w:r>
      <w:r>
        <w:t xml:space="preserve">. Monthly counters carry a TTL set to the remaining days in the billing period, ensuring automatic reset without batch jobs. CRP Comply’s quota ladder — 100 calls per month on the Free tier, 5{,}000 on Starter, 50{,}000 on Scale, and unlimited audited calls on Enterprise — maps directly to the infrastructure cost profile of each segment.</w:t>
      </w:r>
    </w:p>
    <w:p>
      <w:pPr>
        <w:pStyle w:val="BodyText"/>
      </w:pPr>
      <w:r>
        <w:t xml:space="preserve">Feature differentiation extends beyond API volume. Free-tier tenants receive three active compliance recipes, 30-day audit retention, and access to basic vault storage for up to ten documents. Starter expands this to ten recipes and one-year retention. Scale introduces team workspaces, HMAC-signed audit chains with key rotation, and cross-tenant anonymized benchmarks. Enterprise adds BYOK, SCIM provisioning, local LLM mode, and custom reporting regions</w:t>
      </w:r>
      <w:r>
        <w:t xml:space="preserve"> </w:t>
      </w:r>
      <w:fldSimple w:instr="NOTEREF _Ref_Footnote_153 \h \f">
        <w:r>
          <w:rPr>
            <w:vertAlign w:val="superscript"/>
          </w:rPr>
          <w:t>153</w:t>
        </w:r>
      </w:fldSimple>
      <w:r>
        <w:t xml:space="preserve"> </w:t>
      </w:r>
      <w:fldSimple w:instr="NOTEREF _Ref_Footnote_154 \h \f">
        <w:r>
          <w:rPr>
            <w:vertAlign w:val="superscript"/>
          </w:rPr>
          <w:t>154</w:t>
        </w:r>
      </w:fldSimple>
      <w:r>
        <w:t xml:space="preserve">.</w:t>
      </w:r>
    </w:p>
    <w:bookmarkEnd w:id="77"/>
    <w:bookmarkStart w:id="78" w:name="team-workspaces-rbac"/>
    <w:p>
      <w:pPr>
        <w:pStyle w:val="Heading3"/>
      </w:pPr>
      <w:r>
        <w:t xml:space="preserve">7.3 Team Workspaces &amp; RBAC</w:t>
      </w:r>
    </w:p>
    <w:p>
      <w:pPr>
        <w:pStyle w:val="FirstParagraph"/>
      </w:pPr>
      <w:r>
        <w:t xml:space="preserve">Team workspaces, available from the Scale tier ($499/month), transform CRP Comply from a single-user compliance tool into a collaborative environment where compliance officers, security engineers, legal counsel, and external auditors operate within shared permission boundaries. Workspace permissions follow a hierarchical inheritance model in which higher-level permissions flow downward unless explicitly overridden at a lower level</w:t>
      </w:r>
      <w:r>
        <w:t xml:space="preserve"> </w:t>
      </w:r>
      <w:r>
        <w:rPr>
          <w:vertAlign w:val="superscript"/>
        </w:rPr>
        <w:footnoteReference w:id="156"/>
      </w:r>
      <w:r>
        <w:t xml:space="preserve">. A tenant (representing the organisation) contains multiple workspaces; each workspace contains drives, folders, and individual files where permissions can be scoped with increasing granularity.</w:t>
      </w:r>
    </w:p>
    <w:p>
      <w:pPr>
        <w:pStyle w:val="BodyText"/>
      </w:pPr>
      <w:r>
        <w:t xml:space="preserve">The RBAC system is built on a permission-first design: all actions in the system are catalogued first, then grouped into roles</w:t>
      </w:r>
      <w:r>
        <w:t xml:space="preserve"> </w:t>
      </w:r>
      <w:r>
        <w:rPr>
          <w:vertAlign w:val="superscript"/>
        </w:rPr>
        <w:footnoteReference w:id="157"/>
      </w:r>
      <w:r>
        <w:t xml:space="preserve">. This approach prevents the common failure mode in which roles are defined intuitively, leading to privilege creep as</w:t>
      </w:r>
      <w:r>
        <w:t xml:space="preserve"> </w:t>
      </w:r>
      <w:r>
        <w:t xml:space="preserve">“</w:t>
      </w:r>
      <w:r>
        <w:t xml:space="preserve">temporary</w:t>
      </w:r>
      <w:r>
        <w:t xml:space="preserve">”</w:t>
      </w:r>
      <w:r>
        <w:t xml:space="preserve"> </w:t>
      </w:r>
      <w:r>
        <w:t xml:space="preserve">access becomes permanent and no team is confident enough to remove it</w:t>
      </w:r>
      <w:r>
        <w:t xml:space="preserve"> </w:t>
      </w:r>
      <w:fldSimple w:instr="NOTEREF _Ref_Footnote_157 \h \f">
        <w:r>
          <w:rPr>
            <w:vertAlign w:val="superscript"/>
          </w:rPr>
          <w:t>157</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Tenant Scope</w:t>
            </w:r>
          </w:p>
        </w:tc>
        <w:tc>
          <w:tcPr/>
          <w:p>
            <w:pPr>
              <w:pStyle w:val="Compact"/>
              <w:jc w:val="left"/>
            </w:pPr>
            <w:r>
              <w:t xml:space="preserve">Workspace Scope</w:t>
            </w:r>
          </w:p>
        </w:tc>
        <w:tc>
          <w:tcPr/>
          <w:p>
            <w:pPr>
              <w:pStyle w:val="Compact"/>
              <w:jc w:val="left"/>
            </w:pPr>
            <w:r>
              <w:t xml:space="preserve">Key Permissions</w:t>
            </w:r>
          </w:p>
        </w:tc>
        <w:tc>
          <w:tcPr/>
          <w:p>
            <w:pPr>
              <w:pStyle w:val="Compact"/>
              <w:jc w:val="left"/>
            </w:pPr>
            <w:r>
              <w:t xml:space="preserve">Typical Assignee</w:t>
            </w:r>
          </w:p>
        </w:tc>
      </w:tr>
      <w:tr>
        <w:tc>
          <w:tcPr/>
          <w:p>
            <w:pPr>
              <w:pStyle w:val="Compact"/>
              <w:jc w:val="left"/>
            </w:pPr>
            <w:r>
              <w:rPr>
                <w:bCs/>
                <w:b/>
              </w:rPr>
              <w:t xml:space="preserve">Owner</w:t>
            </w:r>
          </w:p>
        </w:tc>
        <w:tc>
          <w:tcPr/>
          <w:p>
            <w:pPr>
              <w:pStyle w:val="Compact"/>
              <w:jc w:val="left"/>
            </w:pPr>
            <w:r>
              <w:t xml:space="preserve">Full control</w:t>
            </w:r>
          </w:p>
        </w:tc>
        <w:tc>
          <w:tcPr/>
          <w:p>
            <w:pPr>
              <w:pStyle w:val="Compact"/>
              <w:jc w:val="left"/>
            </w:pPr>
            <w:r>
              <w:t xml:space="preserve">All workspaces</w:t>
            </w:r>
          </w:p>
        </w:tc>
        <w:tc>
          <w:tcPr/>
          <w:p>
            <w:pPr>
              <w:pStyle w:val="Compact"/>
              <w:jc w:val="left"/>
            </w:pPr>
            <w:r>
              <w:t xml:space="preserve">All permissions; can transfer ownership</w:t>
            </w:r>
          </w:p>
        </w:tc>
        <w:tc>
          <w:tcPr/>
          <w:p>
            <w:pPr>
              <w:pStyle w:val="Compact"/>
              <w:jc w:val="left"/>
            </w:pPr>
            <w:r>
              <w:t xml:space="preserve">CISO / Compliance Director</w:t>
            </w:r>
          </w:p>
        </w:tc>
      </w:tr>
      <w:tr>
        <w:tc>
          <w:tcPr/>
          <w:p>
            <w:pPr>
              <w:pStyle w:val="Compact"/>
              <w:jc w:val="left"/>
            </w:pPr>
            <w:r>
              <w:rPr>
                <w:bCs/>
                <w:b/>
              </w:rPr>
              <w:t xml:space="preserve">Admin</w:t>
            </w:r>
          </w:p>
        </w:tc>
        <w:tc>
          <w:tcPr/>
          <w:p>
            <w:pPr>
              <w:pStyle w:val="Compact"/>
              <w:jc w:val="left"/>
            </w:pPr>
            <w:r>
              <w:t xml:space="preserve">Member management, settings</w:t>
            </w:r>
          </w:p>
        </w:tc>
        <w:tc>
          <w:tcPr/>
          <w:p>
            <w:pPr>
              <w:pStyle w:val="Compact"/>
              <w:jc w:val="left"/>
            </w:pPr>
            <w:r>
              <w:t xml:space="preserve">Becomes manager of all drives</w:t>
            </w:r>
          </w:p>
        </w:tc>
        <w:tc>
          <w:tcPr/>
          <w:p>
            <w:pPr>
              <w:pStyle w:val="Compact"/>
              <w:jc w:val="left"/>
            </w:pPr>
            <w:r>
              <w:t xml:space="preserve">recipe:all, audit:read/export, workspace:manage</w:t>
            </w:r>
          </w:p>
        </w:tc>
        <w:tc>
          <w:tcPr/>
          <w:p>
            <w:pPr>
              <w:pStyle w:val="Compact"/>
              <w:jc w:val="left"/>
            </w:pPr>
            <w:r>
              <w:t xml:space="preserve">Compliance Manager</w:t>
            </w:r>
          </w:p>
        </w:tc>
      </w:tr>
      <w:tr>
        <w:tc>
          <w:tcPr/>
          <w:p>
            <w:pPr>
              <w:pStyle w:val="Compact"/>
              <w:jc w:val="left"/>
            </w:pPr>
            <w:r>
              <w:rPr>
                <w:bCs/>
                <w:b/>
              </w:rPr>
              <w:t xml:space="preserve">Member</w:t>
            </w:r>
          </w:p>
        </w:tc>
        <w:tc>
          <w:tcPr/>
          <w:p>
            <w:pPr>
              <w:pStyle w:val="Compact"/>
              <w:jc w:val="left"/>
            </w:pPr>
            <w:r>
              <w:t xml:space="preserve">Base access</w:t>
            </w:r>
          </w:p>
        </w:tc>
        <w:tc>
          <w:tcPr/>
          <w:p>
            <w:pPr>
              <w:pStyle w:val="Compact"/>
              <w:jc w:val="left"/>
            </w:pPr>
            <w:r>
              <w:t xml:space="preserve">Inherits per-drive permissions</w:t>
            </w:r>
          </w:p>
        </w:tc>
        <w:tc>
          <w:tcPr/>
          <w:p>
            <w:pPr>
              <w:pStyle w:val="Compact"/>
              <w:jc w:val="left"/>
            </w:pPr>
            <w:r>
              <w:t xml:space="preserve">recipe:read/create/update, audit:read, vault:read</w:t>
            </w:r>
          </w:p>
        </w:tc>
        <w:tc>
          <w:tcPr/>
          <w:p>
            <w:pPr>
              <w:pStyle w:val="Compact"/>
              <w:jc w:val="left"/>
            </w:pPr>
            <w:r>
              <w:t xml:space="preserve">Compliance Officer</w:t>
            </w:r>
          </w:p>
        </w:tc>
      </w:tr>
      <w:tr>
        <w:tc>
          <w:tcPr/>
          <w:p>
            <w:pPr>
              <w:pStyle w:val="Compact"/>
              <w:jc w:val="left"/>
            </w:pPr>
            <w:r>
              <w:rPr>
                <w:bCs/>
                <w:b/>
              </w:rPr>
              <w:t xml:space="preserve">Viewer</w:t>
            </w:r>
          </w:p>
        </w:tc>
        <w:tc>
          <w:tcPr/>
          <w:p>
            <w:pPr>
              <w:pStyle w:val="Compact"/>
              <w:jc w:val="left"/>
            </w:pPr>
            <w:r>
              <w:t xml:space="preserve">None</w:t>
            </w:r>
          </w:p>
        </w:tc>
        <w:tc>
          <w:tcPr/>
          <w:p>
            <w:pPr>
              <w:pStyle w:val="Compact"/>
              <w:jc w:val="left"/>
            </w:pPr>
            <w:r>
              <w:t xml:space="preserve">Explicit invitation only</w:t>
            </w:r>
          </w:p>
        </w:tc>
        <w:tc>
          <w:tcPr/>
          <w:p>
            <w:pPr>
              <w:pStyle w:val="Compact"/>
              <w:jc w:val="left"/>
            </w:pPr>
            <w:r>
              <w:t xml:space="preserve">recipe:read, audit:read (summary only)</w:t>
            </w:r>
          </w:p>
        </w:tc>
        <w:tc>
          <w:tcPr/>
          <w:p>
            <w:pPr>
              <w:pStyle w:val="Compact"/>
              <w:jc w:val="left"/>
            </w:pPr>
            <w:r>
              <w:t xml:space="preserve">External consultant</w:t>
            </w:r>
          </w:p>
        </w:tc>
      </w:tr>
      <w:tr>
        <w:tc>
          <w:tcPr/>
          <w:p>
            <w:pPr>
              <w:pStyle w:val="Compact"/>
              <w:jc w:val="left"/>
            </w:pPr>
            <w:r>
              <w:rPr>
                <w:bCs/>
                <w:b/>
              </w:rPr>
              <w:t xml:space="preserve">Guest</w:t>
            </w:r>
          </w:p>
        </w:tc>
        <w:tc>
          <w:tcPr/>
          <w:p>
            <w:pPr>
              <w:pStyle w:val="Compact"/>
              <w:jc w:val="left"/>
            </w:pPr>
            <w:r>
              <w:t xml:space="preserve">None</w:t>
            </w:r>
          </w:p>
        </w:tc>
        <w:tc>
          <w:tcPr/>
          <w:p>
            <w:pPr>
              <w:pStyle w:val="Compact"/>
              <w:jc w:val="left"/>
            </w:pPr>
            <w:r>
              <w:t xml:space="preserve">Direct share only</w:t>
            </w:r>
          </w:p>
        </w:tc>
        <w:tc>
          <w:tcPr/>
          <w:p>
            <w:pPr>
              <w:pStyle w:val="Compact"/>
              <w:jc w:val="left"/>
            </w:pPr>
            <w:r>
              <w:t xml:space="preserve">recipe:read (specific shares only)</w:t>
            </w:r>
          </w:p>
        </w:tc>
        <w:tc>
          <w:tcPr/>
          <w:p>
            <w:pPr>
              <w:pStyle w:val="Compact"/>
              <w:jc w:val="left"/>
            </w:pPr>
            <w:r>
              <w:t xml:space="preserve">Auditor (time-limited)</w:t>
            </w:r>
          </w:p>
        </w:tc>
      </w:tr>
    </w:tbl>
    <w:p>
      <w:pPr>
        <w:pStyle w:val="BodyText"/>
      </w:pPr>
      <w:r>
        <w:t xml:space="preserve">The five-role hierarchy maps directly to compliance workflows. The Owner holds tenant-wide control including billing and data residency. Admins manage workspace membership and drive permissions. Members execute core compliance work: creating recipes, uploading evidence, and reviewing audit trails. Viewers receive read-only access to summaries; Guest access is resource-specific and time-bounded for external auditors</w:t>
      </w:r>
      <w:r>
        <w:t xml:space="preserve"> </w:t>
      </w:r>
      <w:fldSimple w:instr="NOTEREF _Ref_Footnote_157 \h \f">
        <w:r>
          <w:rPr>
            <w:vertAlign w:val="superscript"/>
          </w:rPr>
          <w:t>157</w:t>
        </w:r>
      </w:fldSimple>
      <w:r>
        <w:t xml:space="preserve"> </w:t>
      </w:r>
      <w:fldSimple w:instr="NOTEREF _Ref_Footnote_156 \h \f">
        <w:r>
          <w:rPr>
            <w:vertAlign w:val="superscript"/>
          </w:rPr>
          <w:t>156</w:t>
        </w:r>
      </w:fldSimple>
      <w:r>
        <w:t xml:space="preserve">.</w:t>
      </w:r>
    </w:p>
    <w:p>
      <w:pPr>
        <w:pStyle w:val="BodyText"/>
      </w:pPr>
      <w:r>
        <w:t xml:space="preserve">Scoped RBAC — the same role carrying different permissions per workspace — suits multi-tenant SaaS with workspaces</w:t>
      </w:r>
      <w:r>
        <w:t xml:space="preserve"> </w:t>
      </w:r>
      <w:fldSimple w:instr="NOTEREF _Ref_Footnote_157 \h \f">
        <w:r>
          <w:rPr>
            <w:vertAlign w:val="superscript"/>
          </w:rPr>
          <w:t>157</w:t>
        </w:r>
      </w:fldSimple>
      <w:r>
        <w:t xml:space="preserve">. A compliance officer may have full recipe creation rights in the</w:t>
      </w:r>
      <w:r>
        <w:t xml:space="preserve"> </w:t>
      </w:r>
      <w:r>
        <w:t xml:space="preserve">“</w:t>
      </w:r>
      <w:r>
        <w:t xml:space="preserve">SOC 2 2025</w:t>
      </w:r>
      <w:r>
        <w:t xml:space="preserve">”</w:t>
      </w:r>
      <w:r>
        <w:t xml:space="preserve"> </w:t>
      </w:r>
      <w:r>
        <w:t xml:space="preserve">workspace but read-only access in the</w:t>
      </w:r>
      <w:r>
        <w:t xml:space="preserve"> </w:t>
      </w:r>
      <w:r>
        <w:t xml:space="preserve">“</w:t>
      </w:r>
      <w:r>
        <w:t xml:space="preserve">ISO 27001</w:t>
      </w:r>
      <w:r>
        <w:t xml:space="preserve">”</w:t>
      </w:r>
      <w:r>
        <w:t xml:space="preserve"> </w:t>
      </w:r>
      <w:r>
        <w:t xml:space="preserve">workspace, preserving least-privilege access without role proliferation.</w:t>
      </w:r>
    </w:p>
    <w:p>
      <w:pPr>
        <w:pStyle w:val="BodyText"/>
      </w:pPr>
      <w:r>
        <w:t xml:space="preserve">Activity feeds keep team members synchronised by providing a centralised, real-time chronological list of actions performed across the platform</w:t>
      </w:r>
      <w:r>
        <w:t xml:space="preserve"> </w:t>
      </w:r>
      <w:r>
        <w:rPr>
          <w:vertAlign w:val="superscript"/>
        </w:rPr>
        <w:footnoteReference w:id="158"/>
      </w:r>
      <w:r>
        <w:t xml:space="preserve">. Each feed entry captures the actor, action type, resource affected, and visibility level (private, workspace, or tenant-wide). For compliance teams, this transforms opaque individual work into visible collective progress — a security engineer sees when the compliance officer completes a risk assessment, and the compliance officer sees when evidence is uploaded by a control owner</w:t>
      </w:r>
      <w:r>
        <w:t xml:space="preserve"> </w:t>
      </w:r>
      <w:fldSimple w:instr="NOTEREF _Ref_Footnote_158 \h \f">
        <w:r>
          <w:rPr>
            <w:vertAlign w:val="superscript"/>
          </w:rPr>
          <w:t>158</w:t>
        </w:r>
      </w:fldSimple>
      <w:r>
        <w:t xml:space="preserve">.</w:t>
      </w:r>
    </w:p>
    <w:bookmarkEnd w:id="78"/>
    <w:bookmarkStart w:id="79" w:name="the-compliance-network-effect"/>
    <w:p>
      <w:pPr>
        <w:pStyle w:val="Heading3"/>
      </w:pPr>
      <w:r>
        <w:t xml:space="preserve">7.4 The</w:t>
      </w:r>
      <w:r>
        <w:t xml:space="preserve"> </w:t>
      </w:r>
      <w:r>
        <w:t xml:space="preserve">“</w:t>
      </w:r>
      <w:r>
        <w:t xml:space="preserve">Compliance Network Effect</w:t>
      </w:r>
      <w:r>
        <w:t xml:space="preserve">”</w:t>
      </w:r>
    </w:p>
    <w:p>
      <w:pPr>
        <w:pStyle w:val="FirstParagraph"/>
      </w:pPr>
      <w:r>
        <w:t xml:space="preserve">Compliance work is inherently multi-disciplinary: a compliance officer defines controls, a security engineer implements technical measures, legal counsel reviews regulatory interpretation, and an external auditor verifies evidence. Single-user tools hit a functional ceiling when these stakeholders need to collaborate; team-enabled tools create a network effect in which each additional participant increases the value for all others</w:t>
      </w:r>
      <w:r>
        <w:t xml:space="preserve"> </w:t>
      </w:r>
      <w:r>
        <w:rPr>
          <w:vertAlign w:val="superscript"/>
        </w:rPr>
        <w:footnoteReference w:id="159"/>
      </w:r>
      <w:r>
        <w:t xml:space="preserve">.</w:t>
      </w:r>
    </w:p>
    <w:p>
      <w:pPr>
        <w:pStyle w:val="BodyText"/>
      </w:pPr>
      <w:r>
        <w:t xml:space="preserve">The mechanism is evidence sharing. When a compliance officer generates an evidence pack and shares it with their security engineer via a one-click workspace invitation, both become active platform users. The security engineer’s review comments create activity data visible to the compliance officer. The auditor’s verification adds a third node. Each additional user produces more evidence, more reviews, and faster readiness progression — a value amplification loop that single-user tools cannot replicate</w:t>
      </w:r>
      <w:r>
        <w:t xml:space="preserve"> </w:t>
      </w:r>
      <w:fldSimple w:instr="NOTEREF _Ref_Footnote_159 \h \f">
        <w:r>
          <w:rPr>
            <w:vertAlign w:val="superscript"/>
          </w:rPr>
          <w:t>159</w:t>
        </w:r>
      </w:fldSimple>
      <w:r>
        <w:t xml:space="preserve">.</w:t>
      </w:r>
    </w:p>
    <w:p>
      <w:pPr>
        <w:pStyle w:val="BodyText"/>
      </w:pPr>
      <w:r>
        <w:t xml:space="preserve">This network effect becomes a growth engine. Starter-tier tenants ($49/month) who invite additional team members beyond their five-seat limit encounter a natural upgrade prompt to Scale ($499/month), which offers 25 members per workspace and five workspaces. The invitation itself functions as a viral loop: each invitee experiences the platform’s collaborative features before committing to a paid plan. Activity feeds showing team progress toward shared compliance goals reinforce the perception that the platform’s value increases with participation</w:t>
      </w:r>
      <w:r>
        <w:t xml:space="preserve"> </w:t>
      </w:r>
      <w:fldSimple w:instr="NOTEREF _Ref_Footnote_158 \h \f">
        <w:r>
          <w:rPr>
            <w:vertAlign w:val="superscript"/>
          </w:rPr>
          <w:t>158</w:t>
        </w:r>
      </w:fldSimple>
      <w:r>
        <w:t xml:space="preserve">.</w:t>
      </w:r>
    </w:p>
    <w:p>
      <w:pPr>
        <w:pStyle w:val="BodyText"/>
      </w:pPr>
      <w:r>
        <w:t xml:space="preserve">The compounding effect is measurable operationally: a compliance officer working alone must coordinate evidence collection across departments manually. When security, legal, and engineering participate within shared workspaces with role-appropriate access, handoffs happen within the system rather than through email and file shares. Cross-tenant anonymised benchmarks — available to Scale and Enterprise tiers — further accelerate progress by allowing teams to compare compliance velocity against industry peers, creating both social proof and competitive pressure</w:t>
      </w:r>
      <w:r>
        <w:t xml:space="preserve"> </w:t>
      </w:r>
      <w:fldSimple w:instr="NOTEREF _Ref_Footnote_159 \h \f">
        <w:r>
          <w:rPr>
            <w:vertAlign w:val="superscript"/>
          </w:rPr>
          <w:t>159</w:t>
        </w:r>
      </w:fldSimple>
      <w:r>
        <w:t xml:space="preserve">.</w:t>
      </w:r>
    </w:p>
    <w:p>
      <w:r>
        <w:pict>
          <v:rect style="width:0;height:1.5pt" o:hralign="center" o:hrstd="t" o:hr="t"/>
        </w:pict>
      </w:r>
    </w:p>
    <w:bookmarkEnd w:id="79"/>
    <w:bookmarkEnd w:id="80"/>
    <w:bookmarkStart w:id="88" w:name="security-ux-auth-mfa-session-security"/>
    <w:p>
      <w:pPr>
        <w:pStyle w:val="Heading2"/>
      </w:pPr>
      <w:r>
        <w:t xml:space="preserve">8. Security UX — Auth, MFA &amp; Session Security</w:t>
      </w:r>
    </w:p>
    <w:p>
      <w:pPr>
        <w:pStyle w:val="FirstParagraph"/>
      </w:pPr>
      <w:r>
        <w:t xml:space="preserve">The prevailing assumption in enterprise software is that security and user experience exist in tension: every additional control adds friction, and every simplification introduces vulnerability. This chapter examines the evidence for the opposite proposition — that well-architected security is a primary</w:t>
      </w:r>
      <w:r>
        <w:t xml:space="preserve"> </w:t>
      </w:r>
      <w:r>
        <w:rPr>
          <w:iCs/>
          <w:i/>
        </w:rPr>
        <w:t xml:space="preserve">driver</w:t>
      </w:r>
      <w:r>
        <w:t xml:space="preserve"> </w:t>
      </w:r>
      <w:r>
        <w:t xml:space="preserve">of user satisfaction, not a tax upon it. For CRP Comply, whose users handle sensitive compliance data including AI system classifications and audit evidence, security architecture is not merely infrastructure; it is the product experience.</w:t>
      </w:r>
    </w:p>
    <w:bookmarkStart w:id="84" w:name="passkeys-security-as-delight"/>
    <w:p>
      <w:pPr>
        <w:pStyle w:val="Heading3"/>
      </w:pPr>
      <w:r>
        <w:t xml:space="preserve">8.1 Passkeys: Security as Delight</w:t>
      </w:r>
    </w:p>
    <w:p>
      <w:pPr>
        <w:pStyle w:val="FirstParagraph"/>
      </w:pPr>
      <w:r>
        <w:t xml:space="preserve">Passkeys, built on the FIDO2/WebAuthn standard, use public-key cryptography bound to the user’s device. The result is authentication that is simultaneously more secure and dramatically faster than password-based alternatives.</w:t>
      </w:r>
    </w:p>
    <w:p>
      <w:pPr>
        <w:pStyle w:val="BodyText"/>
      </w:pPr>
      <w:r>
        <w:t xml:space="preserve">Microsoft’s production data demonstrates that passkey sign-in is eight times faster than password-plus-MFA, with a 98% authentication success rate compared to just 32% for password-only authentication</w:t>
      </w:r>
      <w:r>
        <w:t xml:space="preserve"> </w:t>
      </w:r>
      <w:fldSimple w:instr="NOTEREF _Ref_Footnote_4 \h \f">
        <w:r>
          <w:rPr>
            <w:vertAlign w:val="superscript"/>
          </w:rPr>
          <w:t>4</w:t>
        </w:r>
      </w:fldSimple>
      <w:r>
        <w:t xml:space="preserve">. The FIDO Alliance reports a mean sign-in time of 8.5 seconds for passkeys versus 31.2 seconds for password and MFA workflows, alongside a 73% reduction in sign-in time and an 81% reduction in login-related support tickets</w:t>
      </w:r>
      <w:r>
        <w:t xml:space="preserve"> </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1073"/>
        <w:gridCol w:w="2013"/>
        <w:gridCol w:w="2282"/>
        <w:gridCol w:w="2550"/>
      </w:tblGrid>
      <w:tr>
        <w:trPr>
          <w:tblHeader w:val="true"/>
        </w:trPr>
        <w:tc>
          <w:tcPr/>
          <w:p>
            <w:pPr>
              <w:pStyle w:val="Compact"/>
              <w:jc w:val="left"/>
            </w:pPr>
            <w:r>
              <w:t xml:space="preserve">Metric</w:t>
            </w:r>
          </w:p>
        </w:tc>
        <w:tc>
          <w:tcPr/>
          <w:p>
            <w:pPr>
              <w:pStyle w:val="Compact"/>
              <w:jc w:val="left"/>
            </w:pPr>
            <w:r>
              <w:t xml:space="preserve">Password + MFA</w:t>
            </w:r>
          </w:p>
        </w:tc>
        <w:tc>
          <w:tcPr/>
          <w:p>
            <w:pPr>
              <w:pStyle w:val="Compact"/>
              <w:jc w:val="left"/>
            </w:pPr>
            <w:r>
              <w:t xml:space="preserve">Passkey (FIDO2)</w:t>
            </w:r>
          </w:p>
        </w:tc>
        <w:tc>
          <w:tcPr/>
          <w:p>
            <w:pPr>
              <w:pStyle w:val="Compact"/>
              <w:jc w:val="left"/>
            </w:pPr>
            <w:r>
              <w:t xml:space="preserve">Improvement Factor</w:t>
            </w:r>
          </w:p>
        </w:tc>
      </w:tr>
      <w:tr>
        <w:tc>
          <w:tcPr/>
          <w:p>
            <w:pPr>
              <w:pStyle w:val="Compact"/>
              <w:jc w:val="left"/>
            </w:pPr>
            <w:r>
              <w:t xml:space="preserve">Average sign-in time</w:t>
            </w:r>
          </w:p>
        </w:tc>
        <w:tc>
          <w:tcPr/>
          <w:p>
            <w:pPr>
              <w:pStyle w:val="Compact"/>
              <w:jc w:val="left"/>
            </w:pPr>
            <w:r>
              <w:t xml:space="preserve">31.2 s</w:t>
            </w:r>
            <w:r>
              <w:t xml:space="preserve"> </w:t>
            </w:r>
            <w:fldSimple w:instr="NOTEREF _Ref_Footnote_4 \h \f">
              <w:r>
                <w:rPr>
                  <w:vertAlign w:val="superscript"/>
                </w:rPr>
                <w:t>4</w:t>
              </w:r>
            </w:fldSimple>
          </w:p>
        </w:tc>
        <w:tc>
          <w:tcPr/>
          <w:p>
            <w:pPr>
              <w:pStyle w:val="Compact"/>
              <w:jc w:val="left"/>
            </w:pPr>
            <w:r>
              <w:t xml:space="preserve">8.5 s</w:t>
            </w:r>
            <w:r>
              <w:t xml:space="preserve"> </w:t>
            </w:r>
            <w:fldSimple w:instr="NOTEREF _Ref_Footnote_4 \h \f">
              <w:r>
                <w:rPr>
                  <w:vertAlign w:val="superscript"/>
                </w:rPr>
                <w:t>4</w:t>
              </w:r>
            </w:fldSimple>
          </w:p>
        </w:tc>
        <w:tc>
          <w:tcPr/>
          <w:p>
            <w:pPr>
              <w:pStyle w:val="Compact"/>
              <w:jc w:val="left"/>
            </w:pPr>
            <w:r>
              <w:t xml:space="preserve">3.7x faster (up to 14x)</w:t>
            </w:r>
          </w:p>
        </w:tc>
      </w:tr>
      <w:tr>
        <w:tc>
          <w:tcPr/>
          <w:p>
            <w:pPr>
              <w:pStyle w:val="Compact"/>
              <w:jc w:val="left"/>
            </w:pPr>
            <w:r>
              <w:t xml:space="preserve">Authentication success rate</w:t>
            </w:r>
          </w:p>
        </w:tc>
        <w:tc>
          <w:tcPr/>
          <w:p>
            <w:pPr>
              <w:pStyle w:val="Compact"/>
              <w:jc w:val="left"/>
            </w:pPr>
            <w:r>
              <w:t xml:space="preserve">32–63%</w:t>
            </w:r>
            <w:r>
              <w:t xml:space="preserve"> </w:t>
            </w:r>
            <w:fldSimple w:instr="NOTEREF _Ref_Footnote_4 \h \f">
              <w:r>
                <w:rPr>
                  <w:vertAlign w:val="superscript"/>
                </w:rPr>
                <w:t>4</w:t>
              </w:r>
            </w:fldSimple>
          </w:p>
        </w:tc>
        <w:tc>
          <w:tcPr/>
          <w:p>
            <w:pPr>
              <w:pStyle w:val="Compact"/>
              <w:jc w:val="left"/>
            </w:pPr>
            <w:r>
              <w:t xml:space="preserve">93–98%</w:t>
            </w:r>
            <w:r>
              <w:t xml:space="preserve"> </w:t>
            </w:r>
            <w:fldSimple w:instr="NOTEREF _Ref_Footnote_4 \h \f">
              <w:r>
                <w:rPr>
                  <w:vertAlign w:val="superscript"/>
                </w:rPr>
                <w:t>4</w:t>
              </w:r>
            </w:fldSimple>
          </w:p>
        </w:tc>
        <w:tc>
          <w:tcPr/>
          <w:p>
            <w:pPr>
              <w:pStyle w:val="Compact"/>
              <w:jc w:val="left"/>
            </w:pPr>
            <w:r>
              <w:t xml:space="preserve">30–65 percentage points</w:t>
            </w:r>
          </w:p>
        </w:tc>
      </w:tr>
      <w:tr>
        <w:tc>
          <w:tcPr/>
          <w:p>
            <w:pPr>
              <w:pStyle w:val="Compact"/>
              <w:jc w:val="left"/>
            </w:pPr>
            <w:r>
              <w:t xml:space="preserve">Login-related support tickets</w:t>
            </w:r>
          </w:p>
        </w:tc>
        <w:tc>
          <w:tcPr/>
          <w:p>
            <w:pPr>
              <w:pStyle w:val="Compact"/>
              <w:jc w:val="left"/>
            </w:pPr>
            <w:r>
              <w:t xml:space="preserve">Baseline</w:t>
            </w:r>
          </w:p>
        </w:tc>
        <w:tc>
          <w:tcPr/>
          <w:p>
            <w:pPr>
              <w:pStyle w:val="Compact"/>
              <w:jc w:val="left"/>
            </w:pPr>
            <w:r>
              <w:t xml:space="preserve">−81%</w:t>
            </w:r>
            <w:r>
              <w:t xml:space="preserve"> </w:t>
            </w:r>
            <w:fldSimple w:instr="NOTEREF _Ref_Footnote_4 \h \f">
              <w:r>
                <w:rPr>
                  <w:vertAlign w:val="superscript"/>
                </w:rPr>
                <w:t>4</w:t>
              </w:r>
            </w:fldSimple>
          </w:p>
        </w:tc>
        <w:tc>
          <w:tcPr/>
          <w:p>
            <w:pPr>
              <w:pStyle w:val="Compact"/>
              <w:jc w:val="left"/>
            </w:pPr>
            <w:r>
              <w:t xml:space="preserve">4 of 5 tickets eliminated</w:t>
            </w:r>
          </w:p>
        </w:tc>
      </w:tr>
      <w:tr>
        <w:tc>
          <w:tcPr/>
          <w:p>
            <w:pPr>
              <w:pStyle w:val="Compact"/>
              <w:jc w:val="left"/>
            </w:pPr>
            <w:r>
              <w:t xml:space="preserve">Global consumer awareness</w:t>
            </w:r>
          </w:p>
        </w:tc>
        <w:tc>
          <w:tcPr/>
          <w:p>
            <w:pPr>
              <w:pStyle w:val="Compact"/>
              <w:jc w:val="left"/>
            </w:pPr>
            <w:r>
              <w:t xml:space="preserve">N/A</w:t>
            </w:r>
          </w:p>
        </w:tc>
        <w:tc>
          <w:tcPr/>
          <w:p>
            <w:pPr>
              <w:pStyle w:val="Compact"/>
              <w:jc w:val="left"/>
            </w:pPr>
            <w:r>
              <w:t xml:space="preserve">75% recognition</w:t>
            </w:r>
            <w:r>
              <w:t xml:space="preserve"> </w:t>
            </w:r>
            <w:fldSimple w:instr="NOTEREF _Ref_Footnote_4 \h \f">
              <w:r>
                <w:rPr>
                  <w:vertAlign w:val="superscript"/>
                </w:rPr>
                <w:t>4</w:t>
              </w:r>
            </w:fldSimple>
          </w:p>
        </w:tc>
        <w:tc>
          <w:tcPr/>
          <w:p>
            <w:pPr>
              <w:pStyle w:val="Compact"/>
              <w:jc w:val="left"/>
            </w:pPr>
            <w:r>
              <w:t xml:space="preserve">Critical mass achieved</w:t>
            </w:r>
          </w:p>
        </w:tc>
      </w:tr>
      <w:tr>
        <w:tc>
          <w:tcPr/>
          <w:p>
            <w:pPr>
              <w:pStyle w:val="Compact"/>
              <w:jc w:val="left"/>
            </w:pPr>
            <w:r>
              <w:t xml:space="preserve">Adoption among top 100 websites</w:t>
            </w:r>
          </w:p>
        </w:tc>
        <w:tc>
          <w:tcPr/>
          <w:p>
            <w:pPr>
              <w:pStyle w:val="Compact"/>
              <w:jc w:val="left"/>
            </w:pPr>
            <w:r>
              <w:t xml:space="preserve">N/A</w:t>
            </w:r>
          </w:p>
        </w:tc>
        <w:tc>
          <w:tcPr/>
          <w:p>
            <w:pPr>
              <w:pStyle w:val="Compact"/>
              <w:jc w:val="left"/>
            </w:pPr>
            <w:r>
              <w:t xml:space="preserve">48% (2x 2022)</w:t>
            </w:r>
            <w:r>
              <w:t xml:space="preserve"> </w:t>
            </w:r>
            <w:fldSimple w:instr="NOTEREF _Ref_Footnote_4 \h \f">
              <w:r>
                <w:rPr>
                  <w:vertAlign w:val="superscript"/>
                </w:rPr>
                <w:t>4</w:t>
              </w:r>
            </w:fldSimple>
          </w:p>
        </w:tc>
        <w:tc>
          <w:tcPr/>
          <w:p>
            <w:pPr>
              <w:pStyle w:val="Compact"/>
              <w:jc w:val="left"/>
            </w:pPr>
            <w:r>
              <w:t xml:space="preserve">Accelerating ecosystem</w:t>
            </w:r>
          </w:p>
        </w:tc>
      </w:tr>
    </w:tbl>
    <w:p>
      <w:pPr>
        <w:pStyle w:val="BodyText"/>
      </w:pPr>
      <w:r>
        <w:t xml:space="preserve">These figures represent a categorical shift rather than incremental improvement. The 81% reduction in support tickets alone translates to substantial operational savings for any organisation fielding authentication-related inquiries. A compliance officer logging into CRP Comply multiple times daily experiences passkey authentication not as a security feature but as a quality-of-life enhancement. The 28% of users who</w:t>
      </w:r>
      <w:r>
        <w:t xml:space="preserve"> </w:t>
      </w:r>
      <w:r>
        <w:t xml:space="preserve">“</w:t>
      </w:r>
      <w:r>
        <w:t xml:space="preserve">enable passkeys whenever possible</w:t>
      </w:r>
      <w:r>
        <w:t xml:space="preserve">”</w:t>
      </w:r>
      <w:r>
        <w:t xml:space="preserve"> </w:t>
      </w:r>
      <w:fldSimple w:instr="NOTEREF _Ref_Footnote_4 \h \f">
        <w:r>
          <w:rPr>
            <w:vertAlign w:val="superscript"/>
          </w:rPr>
          <w:t>4</w:t>
        </w:r>
      </w:fldSimple>
      <w:r>
        <w:t xml:space="preserve">are self-selecting into a better experience — product design should make that selection the default.</w:t>
      </w:r>
    </w:p>
    <w:p>
      <w:pPr>
        <w:pStyle w:val="BodyText"/>
      </w:pPr>
      <w:r>
        <w:t xml:space="preserve">The highest passkey login rates are achieved through an identifier-first flow with Conditional UI, where the browser suggests the passkey directly within the username field for one-tap login</w:t>
      </w:r>
      <w:r>
        <w:t xml:space="preserve"> </w:t>
      </w:r>
      <w:r>
        <w:rPr>
          <w:vertAlign w:val="superscript"/>
        </w:rPr>
        <w:footnoteReference w:id="160"/>
      </w:r>
      <w:r>
        <w:t xml:space="preserve">. Progressive enrollment — prompting for passkey creation at contextually relevant moments such as account creation or recovery — outperforms forced cutover</w:t>
      </w:r>
      <w:r>
        <w:t xml:space="preserve"> </w:t>
      </w:r>
      <w:fldSimple w:instr="NOTEREF _Ref_Footnote_160 \h \f">
        <w:r>
          <w:rPr>
            <w:vertAlign w:val="superscript"/>
          </w:rPr>
          <w:t>160</w:t>
        </w:r>
      </w:fldSimple>
      <w:r>
        <w:t xml:space="preserve">. Cross-device authentication uses hybrid transport (QR code plus Bluetooth Low Energy proximity verification), and Meta Engineering has demonstrated extensions for XR devices that encode FIDO URLs with ECDH public keys into push notifications, preserving proximity requirements without on-device displays</w:t>
      </w:r>
      <w:r>
        <w:t xml:space="preserve"> </w:t>
      </w:r>
      <w:r>
        <w:rPr>
          <w:vertAlign w:val="superscript"/>
        </w:rPr>
        <w:footnoteReference w:id="161"/>
      </w:r>
      <w:r>
        <w:t xml:space="preserve"> </w:t>
      </w:r>
      <w:r>
        <w:rPr>
          <w:vertAlign w:val="superscript"/>
        </w:rPr>
        <w:footnoteReference w:id="162"/>
      </w:r>
      <w:r>
        <w:t xml:space="preserve">.</w:t>
      </w:r>
    </w:p>
    <w:p>
      <w:pPr>
        <w:pStyle w:val="CaptionedFigure"/>
      </w:pPr>
      <w:r>
        <w:drawing>
          <wp:inline>
            <wp:extent cx="5334000" cy="2183567"/>
            <wp:effectExtent b="0" l="0" r="0" t="0"/>
            <wp:docPr descr="Passkey metrics comparison" title="" id="82" name="Picture"/>
            <a:graphic>
              <a:graphicData uri="http://schemas.openxmlformats.org/drawingml/2006/picture">
                <pic:pic>
                  <pic:nvPicPr>
                    <pic:cNvPr descr="sec08_passkey_metrics_chart.png" id="83" name="Picture"/>
                    <pic:cNvPicPr>
                      <a:picLocks noChangeArrowheads="1" noChangeAspect="1"/>
                    </pic:cNvPicPr>
                  </pic:nvPicPr>
                  <pic:blipFill>
                    <a:blip r:embed="rId81"/>
                    <a:stretch>
                      <a:fillRect/>
                    </a:stretch>
                  </pic:blipFill>
                  <pic:spPr bwMode="auto">
                    <a:xfrm>
                      <a:off x="0" y="0"/>
                      <a:ext cx="5334000" cy="2183567"/>
                    </a:xfrm>
                    <a:prstGeom prst="rect">
                      <a:avLst/>
                    </a:prstGeom>
                    <a:noFill/>
                    <a:ln w="9525">
                      <a:noFill/>
                      <a:headEnd/>
                      <a:tailEnd/>
                    </a:ln>
                  </pic:spPr>
                </pic:pic>
              </a:graphicData>
            </a:graphic>
          </wp:inline>
        </w:drawing>
      </w:r>
    </w:p>
    <w:p>
      <w:pPr>
        <w:pStyle w:val="ImageCaption"/>
      </w:pPr>
      <w:r>
        <w:t xml:space="preserve">Passkey metrics comparison</w:t>
      </w:r>
    </w:p>
    <w:bookmarkEnd w:id="84"/>
    <w:bookmarkStart w:id="85" w:name="adaptive-authentication-step-up"/>
    <w:p>
      <w:pPr>
        <w:pStyle w:val="Heading3"/>
      </w:pPr>
      <w:r>
        <w:t xml:space="preserve">8.2 Adaptive Authentication &amp; Step-Up</w:t>
      </w:r>
    </w:p>
    <w:p>
      <w:pPr>
        <w:pStyle w:val="FirstParagraph"/>
      </w:pPr>
      <w:r>
        <w:t xml:space="preserve">Standard multi-factor authentication fails against Adversary-in-the-Middle attacks because it is a one-time barrier. Once authenticated, no further check occurs until session timeout. Microsoft reported 147{,}000 token replay attacks in a single year — an increase of 111% — while blocking 600 million identity attacks daily, more than 99% password-based</w:t>
      </w:r>
      <w:r>
        <w:t xml:space="preserve"> </w:t>
      </w:r>
      <w:r>
        <w:rPr>
          <w:vertAlign w:val="superscript"/>
        </w:rPr>
        <w:footnoteReference w:id="163"/>
      </w:r>
      <w:r>
        <w:t xml:space="preserve">. The solution is smarter, not more, MFA.</w:t>
      </w:r>
    </w:p>
    <w:p>
      <w:pPr>
        <w:pStyle w:val="BodyText"/>
      </w:pPr>
      <w:r>
        <w:t xml:space="preserve">Adaptive authentication evaluates contextual risk signals in real time. Microsoft Entra Conditional Access processes over 40 TB of identity signals daily, calculating separate user risk (likelihood of account compromise) and sign-in risk (likelihood of unauthorised access) scores</w:t>
      </w:r>
      <w:r>
        <w:t xml:space="preserve"> </w:t>
      </w:r>
      <w:fldSimple w:instr="NOTEREF _Ref_Footnote_163 \h \f">
        <w:r>
          <w:rPr>
            <w:vertAlign w:val="superscript"/>
          </w:rPr>
          <w:t>163</w:t>
        </w:r>
      </w:fldSimple>
      <w:r>
        <w:t xml:space="preserve">. Signals include device health, geolocation, network reputation, and behavioural biometrics — phone hold patterns, swipe characteristics, typical interaction timing — enabling continuous authentication without explicit user action</w:t>
      </w:r>
      <w:r>
        <w:t xml:space="preserve"> </w:t>
      </w:r>
      <w:r>
        <w:rPr>
          <w:vertAlign w:val="superscript"/>
        </w:rPr>
        <w:footnoteReference w:id="164"/>
      </w:r>
      <w:r>
        <w:t xml:space="preserve">.</w:t>
      </w:r>
    </w:p>
    <w:tbl>
      <w:tblPr>
        <w:tblStyle w:val="Table"/>
        <w:tblW w:type="pct" w:w="5000"/>
        <w:tblLook w:firstRow="1" w:lastRow="0" w:firstColumn="0" w:lastColumn="0" w:noHBand="0" w:noVBand="0" w:val="0020"/>
      </w:tblPr>
      <w:tblGrid>
        <w:gridCol w:w="1405"/>
        <w:gridCol w:w="2043"/>
        <w:gridCol w:w="4470"/>
      </w:tblGrid>
      <w:tr>
        <w:trPr>
          <w:tblHeader w:val="true"/>
        </w:trPr>
        <w:tc>
          <w:tcPr/>
          <w:p>
            <w:pPr>
              <w:pStyle w:val="Compact"/>
              <w:jc w:val="left"/>
            </w:pPr>
            <w:r>
              <w:t xml:space="preserve">Dimension</w:t>
            </w:r>
          </w:p>
        </w:tc>
        <w:tc>
          <w:tcPr/>
          <w:p>
            <w:pPr>
              <w:pStyle w:val="Compact"/>
              <w:jc w:val="left"/>
            </w:pPr>
            <w:r>
              <w:t xml:space="preserve">Traditional MFA</w:t>
            </w:r>
          </w:p>
        </w:tc>
        <w:tc>
          <w:tcPr/>
          <w:p>
            <w:pPr>
              <w:pStyle w:val="Compact"/>
              <w:jc w:val="left"/>
            </w:pPr>
            <w:r>
              <w:t xml:space="preserve">Adaptive / Step-Up Authentication</w:t>
            </w:r>
          </w:p>
        </w:tc>
      </w:tr>
      <w:tr>
        <w:tc>
          <w:tcPr/>
          <w:p>
            <w:pPr>
              <w:pStyle w:val="Compact"/>
              <w:jc w:val="left"/>
            </w:pPr>
            <w:r>
              <w:t xml:space="preserve">Trigger</w:t>
            </w:r>
          </w:p>
        </w:tc>
        <w:tc>
          <w:tcPr/>
          <w:p>
            <w:pPr>
              <w:pStyle w:val="Compact"/>
              <w:jc w:val="left"/>
            </w:pPr>
            <w:r>
              <w:t xml:space="preserve">Every login unconditionally</w:t>
            </w:r>
          </w:p>
        </w:tc>
        <w:tc>
          <w:tcPr/>
          <w:p>
            <w:pPr>
              <w:pStyle w:val="Compact"/>
              <w:jc w:val="left"/>
            </w:pPr>
            <w:r>
              <w:t xml:space="preserve">Contextual risk signals only</w:t>
            </w:r>
          </w:p>
        </w:tc>
      </w:tr>
      <w:tr>
        <w:tc>
          <w:tcPr/>
          <w:p>
            <w:pPr>
              <w:pStyle w:val="Compact"/>
              <w:jc w:val="left"/>
            </w:pPr>
            <w:r>
              <w:t xml:space="preserve">User friction</w:t>
            </w:r>
          </w:p>
        </w:tc>
        <w:tc>
          <w:tcPr/>
          <w:p>
            <w:pPr>
              <w:pStyle w:val="Compact"/>
              <w:jc w:val="left"/>
            </w:pPr>
            <w:r>
              <w:t xml:space="preserve">Constant (OTP, push, hardware key)</w:t>
            </w:r>
          </w:p>
        </w:tc>
        <w:tc>
          <w:tcPr/>
          <w:p>
            <w:pPr>
              <w:pStyle w:val="Compact"/>
              <w:jc w:val="left"/>
            </w:pPr>
            <w:r>
              <w:t xml:space="preserve">Invisible when risk is low</w:t>
            </w:r>
          </w:p>
        </w:tc>
      </w:tr>
      <w:tr>
        <w:tc>
          <w:tcPr/>
          <w:p>
            <w:pPr>
              <w:pStyle w:val="Compact"/>
              <w:jc w:val="left"/>
            </w:pPr>
            <w:r>
              <w:t xml:space="preserve">Post-auth protection</w:t>
            </w:r>
          </w:p>
        </w:tc>
        <w:tc>
          <w:tcPr/>
          <w:p>
            <w:pPr>
              <w:pStyle w:val="Compact"/>
              <w:jc w:val="left"/>
            </w:pPr>
            <w:r>
              <w:t xml:space="preserve">None until session timeout</w:t>
            </w:r>
          </w:p>
        </w:tc>
        <w:tc>
          <w:tcPr/>
          <w:p>
            <w:pPr>
              <w:pStyle w:val="Compact"/>
              <w:jc w:val="left"/>
            </w:pPr>
            <w:r>
              <w:t xml:space="preserve">Continuous evaluation; real-time revocation</w:t>
            </w:r>
            <w:r>
              <w:t xml:space="preserve"> </w:t>
            </w:r>
            <w:fldSimple w:instr="NOTEREF _Ref_Footnote_163 \h \f">
              <w:r>
                <w:rPr>
                  <w:vertAlign w:val="superscript"/>
                </w:rPr>
                <w:t>163</w:t>
              </w:r>
            </w:fldSimple>
          </w:p>
        </w:tc>
      </w:tr>
      <w:tr>
        <w:tc>
          <w:tcPr/>
          <w:p>
            <w:pPr>
              <w:pStyle w:val="Compact"/>
              <w:jc w:val="left"/>
            </w:pPr>
            <w:r>
              <w:t xml:space="preserve">Signal sources</w:t>
            </w:r>
          </w:p>
        </w:tc>
        <w:tc>
          <w:tcPr/>
          <w:p>
            <w:pPr>
              <w:pStyle w:val="Compact"/>
              <w:jc w:val="left"/>
            </w:pPr>
            <w:r>
              <w:t xml:space="preserve">Single point-in-time credential</w:t>
            </w:r>
          </w:p>
        </w:tc>
        <w:tc>
          <w:tcPr/>
          <w:p>
            <w:pPr>
              <w:pStyle w:val="Compact"/>
              <w:jc w:val="left"/>
            </w:pPr>
            <w:r>
              <w:t xml:space="preserve">Device health, geolocation, behavioural patterns</w:t>
            </w:r>
            <w:r>
              <w:t xml:space="preserve"> </w:t>
            </w:r>
            <w:fldSimple w:instr="NOTEREF _Ref_Footnote_164 \h \f">
              <w:r>
                <w:rPr>
                  <w:vertAlign w:val="superscript"/>
                </w:rPr>
                <w:t>164</w:t>
              </w:r>
            </w:fldSimple>
          </w:p>
        </w:tc>
      </w:tr>
      <w:tr>
        <w:tc>
          <w:tcPr/>
          <w:p>
            <w:pPr>
              <w:pStyle w:val="Compact"/>
              <w:jc w:val="left"/>
            </w:pPr>
            <w:r>
              <w:t xml:space="preserve">Login fatigue</w:t>
            </w:r>
          </w:p>
        </w:tc>
        <w:tc>
          <w:tcPr/>
          <w:p>
            <w:pPr>
              <w:pStyle w:val="Compact"/>
              <w:jc w:val="left"/>
            </w:pPr>
            <w:r>
              <w:t xml:space="preserve">High — enables MFA fatigue attacks</w:t>
            </w:r>
          </w:p>
        </w:tc>
        <w:tc>
          <w:tcPr/>
          <w:p>
            <w:pPr>
              <w:pStyle w:val="Compact"/>
              <w:jc w:val="left"/>
            </w:pPr>
            <w:r>
              <w:t xml:space="preserve">Low — reduces helpdesk tickets</w:t>
            </w:r>
            <w:r>
              <w:t xml:space="preserve"> </w:t>
            </w:r>
            <w:r>
              <w:rPr>
                <w:vertAlign w:val="superscript"/>
              </w:rPr>
              <w:footnoteReference w:id="165"/>
            </w:r>
          </w:p>
        </w:tc>
      </w:tr>
      <w:tr>
        <w:tc>
          <w:tcPr/>
          <w:p>
            <w:pPr>
              <w:pStyle w:val="Compact"/>
              <w:jc w:val="left"/>
            </w:pPr>
            <w:r>
              <w:t xml:space="preserve">Implementation model</w:t>
            </w:r>
          </w:p>
        </w:tc>
        <w:tc>
          <w:tcPr/>
          <w:p>
            <w:pPr>
              <w:pStyle w:val="Compact"/>
              <w:jc w:val="left"/>
            </w:pPr>
            <w:r>
              <w:t xml:space="preserve">Static rules engine</w:t>
            </w:r>
          </w:p>
        </w:tc>
        <w:tc>
          <w:tcPr/>
          <w:p>
            <w:pPr>
              <w:pStyle w:val="Compact"/>
              <w:jc w:val="left"/>
            </w:pPr>
            <w:r>
              <w:t xml:space="preserve">Risk engine with ML (40 TB signals/day at scale)</w:t>
            </w:r>
            <w:r>
              <w:t xml:space="preserve"> </w:t>
            </w:r>
            <w:fldSimple w:instr="NOTEREF _Ref_Footnote_163 \h \f">
              <w:r>
                <w:rPr>
                  <w:vertAlign w:val="superscript"/>
                </w:rPr>
                <w:t>163</w:t>
              </w:r>
            </w:fldSimple>
          </w:p>
        </w:tc>
      </w:tr>
    </w:tbl>
    <w:p>
      <w:pPr>
        <w:pStyle w:val="BodyText"/>
      </w:pPr>
      <w:r>
        <w:t xml:space="preserve">The contrast between the two models is stark. Traditional MFA applies uniform friction regardless of context, training users to treat authentication as an annoyance and creating attack surface through MFA fatigue. Adaptive authentication inverts this: low-risk events (known device, familiar location, normal time) proceed with minimal friction, while only suspicious activity — unusual location, new device, or sensitive operations — triggers step-up verification. Okta Adaptive MFA demonstrates measurable decreases in authentication-related helpdesk tickets through this risk-based approach</w:t>
      </w:r>
      <w:r>
        <w:t xml:space="preserve"> </w:t>
      </w:r>
      <w:fldSimple w:instr="NOTEREF _Ref_Footnote_165 \h \f">
        <w:r>
          <w:rPr>
            <w:vertAlign w:val="superscript"/>
          </w:rPr>
          <w:t>165</w:t>
        </w:r>
      </w:fldSimple>
      <w:r>
        <w:t xml:space="preserve">. Step-up state is encoded in JWT claims (</w:t>
      </w:r>
      <w:r>
        <w:rPr>
          <w:rStyle w:val="VerbatimChar"/>
        </w:rPr>
        <w:t xml:space="preserve">auth_level</w:t>
      </w:r>
      <w:r>
        <w:t xml:space="preserve">,</w:t>
      </w:r>
      <w:r>
        <w:t xml:space="preserve"> </w:t>
      </w:r>
      <w:r>
        <w:rPr>
          <w:rStyle w:val="VerbatimChar"/>
        </w:rPr>
        <w:t xml:space="preserve">step_up_exp</w:t>
      </w:r>
      <w:r>
        <w:t xml:space="preserve">) with modal dialogs preserving workflow continuity, and</w:t>
      </w:r>
      <w:r>
        <w:t xml:space="preserve"> </w:t>
      </w:r>
      <w:r>
        <w:t xml:space="preserve">“</w:t>
      </w:r>
      <w:r>
        <w:t xml:space="preserve">remember this device</w:t>
      </w:r>
      <w:r>
        <w:t xml:space="preserve">”</w:t>
      </w:r>
      <w:r>
        <w:t xml:space="preserve"> </w:t>
      </w:r>
      <w:r>
        <w:t xml:space="preserve">options reduce friction for recurring trusted access</w:t>
      </w:r>
      <w:r>
        <w:t xml:space="preserve"> </w:t>
      </w:r>
      <w:r>
        <w:rPr>
          <w:vertAlign w:val="superscript"/>
        </w:rPr>
        <w:footnoteReference w:id="166"/>
      </w:r>
      <w:r>
        <w:t xml:space="preserve">.</w:t>
      </w:r>
    </w:p>
    <w:bookmarkEnd w:id="85"/>
    <w:bookmarkStart w:id="86" w:name="session-security-architecture"/>
    <w:p>
      <w:pPr>
        <w:pStyle w:val="Heading3"/>
      </w:pPr>
      <w:r>
        <w:t xml:space="preserve">8.3 Session Security Architecture</w:t>
      </w:r>
    </w:p>
    <w:p>
      <w:pPr>
        <w:pStyle w:val="FirstParagraph"/>
      </w:pPr>
      <w:r>
        <w:t xml:space="preserve">Session management sits at the boundary between authentication and ongoing authorisation. Cookie flags remain the foundation:</w:t>
      </w:r>
      <w:r>
        <w:t xml:space="preserve"> </w:t>
      </w:r>
      <w:r>
        <w:rPr>
          <w:rStyle w:val="VerbatimChar"/>
        </w:rPr>
        <w:t xml:space="preserve">HttpOnly</w:t>
      </w:r>
      <w:r>
        <w:t xml:space="preserve"> </w:t>
      </w:r>
      <w:r>
        <w:t xml:space="preserve">blocks JavaScript access (XSS protection),</w:t>
      </w:r>
      <w:r>
        <w:t xml:space="preserve"> </w:t>
      </w:r>
      <w:r>
        <w:rPr>
          <w:rStyle w:val="VerbatimChar"/>
        </w:rPr>
        <w:t xml:space="preserve">Secure</w:t>
      </w:r>
      <w:r>
        <w:t xml:space="preserve"> </w:t>
      </w:r>
      <w:r>
        <w:t xml:space="preserve">enforces HTTPS,</w:t>
      </w:r>
      <w:r>
        <w:t xml:space="preserve"> </w:t>
      </w:r>
      <w:r>
        <w:rPr>
          <w:rStyle w:val="VerbatimChar"/>
        </w:rPr>
        <w:t xml:space="preserve">SameSite=Strict</w:t>
      </w:r>
      <w:r>
        <w:t xml:space="preserve"> </w:t>
      </w:r>
      <w:r>
        <w:t xml:space="preserve">prevents CSRF, with</w:t>
      </w:r>
      <w:r>
        <w:t xml:space="preserve"> </w:t>
      </w:r>
      <w:r>
        <w:rPr>
          <w:rStyle w:val="VerbatimChar"/>
        </w:rPr>
        <w:t xml:space="preserve">maxAge</w:t>
      </w:r>
      <w:r>
        <w:t xml:space="preserve"> </w:t>
      </w:r>
      <w:r>
        <w:t xml:space="preserve">typically set to 15 minutes for sensitive applications</w:t>
      </w:r>
      <w:r>
        <w:t xml:space="preserve"> </w:t>
      </w:r>
      <w:r>
        <w:rPr>
          <w:vertAlign w:val="superscript"/>
        </w:rPr>
        <w:footnoteReference w:id="167"/>
      </w:r>
      <w:r>
        <w:t xml:space="preserve">. Local and session storage must never hold tokens — any JavaScript, including malicious scripts from XSS vulnerabilities, can read these mechanisms</w:t>
      </w:r>
      <w:r>
        <w:t xml:space="preserve"> </w:t>
      </w:r>
      <w:fldSimple w:instr="NOTEREF _Ref_Footnote_167 \h \f">
        <w:r>
          <w:rPr>
            <w:vertAlign w:val="superscript"/>
          </w:rPr>
          <w:t>167</w:t>
        </w:r>
      </w:fldSimple>
      <w:r>
        <w:t xml:space="preserve">. Session fixation prevention requires regenerating the session ID on login, invalidating old sessions, binding to IP and user-agent fingerprints, and rotating IDs after privilege changes</w:t>
      </w:r>
      <w:r>
        <w:t xml:space="preserve"> </w:t>
      </w:r>
      <w:fldSimple w:instr="NOTEREF _Ref_Footnote_166 \h \f">
        <w:r>
          <w:rPr>
            <w:vertAlign w:val="superscript"/>
          </w:rPr>
          <w:t>166</w:t>
        </w:r>
      </w:fldSimple>
      <w:r>
        <w:t xml:space="preserve">.</w:t>
      </w:r>
    </w:p>
    <w:p>
      <w:pPr>
        <w:pStyle w:val="BodyText"/>
      </w:pPr>
      <w:r>
        <w:t xml:space="preserve">For JWT architectures, algorithm confusion is a critical vulnerability. Applications must whitelist allowed algorithms explicitly — RS256 for distributed systems, HS256 for internal services only — and reject the</w:t>
      </w:r>
      <w:r>
        <w:t xml:space="preserve"> </w:t>
      </w:r>
      <w:r>
        <w:t xml:space="preserve">“</w:t>
      </w:r>
      <w:r>
        <w:t xml:space="preserve">none</w:t>
      </w:r>
      <w:r>
        <w:t xml:space="preserve">”</w:t>
      </w:r>
      <w:r>
        <w:t xml:space="preserve"> </w:t>
      </w:r>
      <w:r>
        <w:t xml:space="preserve">algorithm</w:t>
      </w:r>
      <w:r>
        <w:t xml:space="preserve"> </w:t>
      </w:r>
      <w:fldSimple w:instr="NOTEREF _Ref_Footnote_167 \h \f">
        <w:r>
          <w:rPr>
            <w:vertAlign w:val="superscript"/>
          </w:rPr>
          <w:t>167</w:t>
        </w:r>
      </w:fldSimple>
      <w:r>
        <w:t xml:space="preserve">. Access tokens expire within 5–15 minutes with refresh token rotation on each use. Google’s implementation of these controls produced a 40% reduction in replay attacks</w:t>
      </w:r>
      <w:r>
        <w:t xml:space="preserve"> </w:t>
      </w:r>
      <w:r>
        <w:rPr>
          <w:vertAlign w:val="superscript"/>
        </w:rPr>
        <w:footnoteReference w:id="168"/>
      </w:r>
      <w:r>
        <w:t xml:space="preserve">. JWKS endpoints enable zero-downtime key rotation: add a new key, maintain the old key for 24–48 hours, sign new tokens with the new key, then remove the old key</w:t>
      </w:r>
      <w:r>
        <w:t xml:space="preserve"> </w:t>
      </w:r>
      <w:fldSimple w:instr="NOTEREF _Ref_Footnote_167 \h \f">
        <w:r>
          <w:rPr>
            <w:vertAlign w:val="superscript"/>
          </w:rPr>
          <w:t>167</w:t>
        </w:r>
      </w:fldSimple>
      <w:r>
        <w:t xml:space="preserve">. A shared cache of revoked</w:t>
      </w:r>
      <w:r>
        <w:t xml:space="preserve"> </w:t>
      </w:r>
      <w:r>
        <w:rPr>
          <w:rStyle w:val="VerbatimChar"/>
        </w:rPr>
        <w:t xml:space="preserve">jti</w:t>
      </w:r>
      <w:r>
        <w:t xml:space="preserve"> </w:t>
      </w:r>
      <w:r>
        <w:t xml:space="preserve">claims ensures all resource servers detect invalidated tokens</w:t>
      </w:r>
      <w:r>
        <w:t xml:space="preserve"> </w:t>
      </w:r>
      <w:r>
        <w:rPr>
          <w:vertAlign w:val="superscript"/>
        </w:rPr>
        <w:footnoteReference w:id="169"/>
      </w:r>
      <w:r>
        <w:t xml:space="preserve">.</w:t>
      </w:r>
    </w:p>
    <w:p>
      <w:pPr>
        <w:pStyle w:val="BodyText"/>
      </w:pPr>
      <w:r>
        <w:t xml:space="preserve">HMAC-SHA256 request signing provides efficient API security between trusted systems, capable of millions of verifications per second. The signature incorporates HTTP method, path, timestamp (with a five-minute replay window), body hash, and critical headers</w:t>
      </w:r>
      <w:r>
        <w:t xml:space="preserve"> </w:t>
      </w:r>
      <w:fldSimple w:instr="NOTEREF _Ref_Footnote_128 \h \f">
        <w:r>
          <w:rPr>
            <w:vertAlign w:val="superscript"/>
          </w:rPr>
          <w:t>128</w:t>
        </w:r>
      </w:fldSimple>
      <w:r>
        <w:t xml:space="preserve"> </w:t>
      </w:r>
      <w:r>
        <w:rPr>
          <w:vertAlign w:val="superscript"/>
        </w:rPr>
        <w:footnoteReference w:id="170"/>
      </w:r>
      <w:r>
        <w:t xml:space="preserve">. Any payload modification — even a single byte — invalidates the signature</w:t>
      </w:r>
      <w:r>
        <w:t xml:space="preserve"> </w:t>
      </w:r>
      <w:fldSimple w:instr="NOTEREF _Ref_Footnote_128 \h \f">
        <w:r>
          <w:rPr>
            <w:vertAlign w:val="superscript"/>
          </w:rPr>
          <w:t>128</w:t>
        </w:r>
      </w:fldSimple>
      <w:r>
        <w:t xml:space="preserve">. This is the mechanism that powers CRP Comply’s tamper-evident audit chain.</w:t>
      </w:r>
    </w:p>
    <w:bookmarkEnd w:id="86"/>
    <w:bookmarkStart w:id="87" w:name="the-trust-velocity-loop"/>
    <w:p>
      <w:pPr>
        <w:pStyle w:val="Heading3"/>
      </w:pPr>
      <w:r>
        <w:t xml:space="preserve">8.4 The</w:t>
      </w:r>
      <w:r>
        <w:t xml:space="preserve"> </w:t>
      </w:r>
      <w:r>
        <w:t xml:space="preserve">“</w:t>
      </w:r>
      <w:r>
        <w:t xml:space="preserve">Trust Velocity</w:t>
      </w:r>
      <w:r>
        <w:t xml:space="preserve">”</w:t>
      </w:r>
      <w:r>
        <w:t xml:space="preserve"> </w:t>
      </w:r>
      <w:r>
        <w:t xml:space="preserve">Loop</w:t>
      </w:r>
    </w:p>
    <w:p>
      <w:pPr>
        <w:pStyle w:val="FirstParagraph"/>
      </w:pPr>
      <w:r>
        <w:t xml:space="preserve">Security features function as marketing features when visible in the interface. B2B SaaS research demonstrates that compliance badges placed near calls-to-action lift conversions by 10–20% because they answer security objections before prospects raise them</w:t>
      </w:r>
      <w:r>
        <w:t xml:space="preserve"> </w:t>
      </w:r>
      <w:r>
        <w:rPr>
          <w:vertAlign w:val="superscript"/>
        </w:rPr>
        <w:footnoteReference w:id="171"/>
      </w:r>
      <w:r>
        <w:t xml:space="preserve">. Third-party validation badges carry more weight than self-proclaimed achievements because they signal independent verification</w:t>
      </w:r>
      <w:r>
        <w:t xml:space="preserve"> </w:t>
      </w:r>
      <w:fldSimple w:instr="NOTEREF _Ref_Footnote_171 \h \f">
        <w:r>
          <w:rPr>
            <w:vertAlign w:val="superscript"/>
          </w:rPr>
          <w:t>171</w:t>
        </w:r>
      </w:fldSimple>
      <w:r>
        <w:t xml:space="preserve">.</w:t>
      </w:r>
    </w:p>
    <w:tbl>
      <w:tblPr>
        <w:tblStyle w:val="Table"/>
        <w:tblW w:type="pct" w:w="5000"/>
        <w:tblLook w:firstRow="1" w:lastRow="0" w:firstColumn="0" w:lastColumn="0" w:noHBand="0" w:noVBand="0" w:val="0020"/>
      </w:tblPr>
      <w:tblGrid>
        <w:gridCol w:w="1555"/>
        <w:gridCol w:w="4384"/>
        <w:gridCol w:w="1980"/>
      </w:tblGrid>
      <w:tr>
        <w:trPr>
          <w:tblHeader w:val="true"/>
        </w:trPr>
        <w:tc>
          <w:tcPr/>
          <w:p>
            <w:pPr>
              <w:pStyle w:val="Compact"/>
              <w:jc w:val="left"/>
            </w:pPr>
            <w:r>
              <w:t xml:space="preserve">UI Signal</w:t>
            </w:r>
          </w:p>
        </w:tc>
        <w:tc>
          <w:tcPr/>
          <w:p>
            <w:pPr>
              <w:pStyle w:val="Compact"/>
              <w:jc w:val="left"/>
            </w:pPr>
            <w:r>
              <w:t xml:space="preserve">Security Control It Represents</w:t>
            </w:r>
          </w:p>
        </w:tc>
        <w:tc>
          <w:tcPr/>
          <w:p>
            <w:pPr>
              <w:pStyle w:val="Compact"/>
              <w:jc w:val="left"/>
            </w:pPr>
            <w:r>
              <w:t xml:space="preserve">Trust Impact</w:t>
            </w:r>
          </w:p>
        </w:tc>
      </w:tr>
      <w:tr>
        <w:tc>
          <w:tcPr/>
          <w:p>
            <w:pPr>
              <w:pStyle w:val="Compact"/>
              <w:jc w:val="left"/>
            </w:pPr>
            <w:r>
              <w:t xml:space="preserve">“</w:t>
            </w:r>
            <w:r>
              <w:t xml:space="preserve">Passkey verified</w:t>
            </w:r>
            <w:r>
              <w:t xml:space="preserve">”</w:t>
            </w:r>
            <w:r>
              <w:t xml:space="preserve"> </w:t>
            </w:r>
            <w:r>
              <w:t xml:space="preserve">badge</w:t>
            </w:r>
          </w:p>
        </w:tc>
        <w:tc>
          <w:tcPr/>
          <w:p>
            <w:pPr>
              <w:pStyle w:val="Compact"/>
              <w:jc w:val="left"/>
            </w:pPr>
            <w:r>
              <w:t xml:space="preserve">FIDO2/WebAuthn authentication</w:t>
            </w:r>
          </w:p>
        </w:tc>
        <w:tc>
          <w:tcPr/>
          <w:p>
            <w:pPr>
              <w:pStyle w:val="Compact"/>
              <w:jc w:val="left"/>
            </w:pPr>
            <w:r>
              <w:t xml:space="preserve">Immediate competence signal; 98% success rate</w:t>
            </w:r>
            <w:r>
              <w:t xml:space="preserve"> </w:t>
            </w:r>
            <w:fldSimple w:instr="NOTEREF _Ref_Footnote_4 \h \f">
              <w:r>
                <w:rPr>
                  <w:vertAlign w:val="superscript"/>
                </w:rPr>
                <w:t>4</w:t>
              </w:r>
            </w:fldSimple>
          </w:p>
        </w:tc>
      </w:tr>
      <w:tr>
        <w:tc>
          <w:tcPr/>
          <w:p>
            <w:pPr>
              <w:pStyle w:val="Compact"/>
              <w:jc w:val="left"/>
            </w:pPr>
            <w:r>
              <w:t xml:space="preserve">“</w:t>
            </w:r>
            <w:r>
              <w:t xml:space="preserve">HMAC-signed</w:t>
            </w:r>
            <w:r>
              <w:t xml:space="preserve">”</w:t>
            </w:r>
            <w:r>
              <w:t xml:space="preserve"> </w:t>
            </w:r>
            <w:r>
              <w:t xml:space="preserve">indicator</w:t>
            </w:r>
          </w:p>
        </w:tc>
        <w:tc>
          <w:tcPr/>
          <w:p>
            <w:pPr>
              <w:pStyle w:val="Compact"/>
              <w:jc w:val="left"/>
            </w:pPr>
            <w:r>
              <w:t xml:space="preserve">Per-request cryptographic verification</w:t>
            </w:r>
          </w:p>
        </w:tc>
        <w:tc>
          <w:tcPr/>
          <w:p>
            <w:pPr>
              <w:pStyle w:val="Compact"/>
              <w:jc w:val="left"/>
            </w:pPr>
            <w:r>
              <w:t xml:space="preserve">Tamper-evident audit chain integrity</w:t>
            </w:r>
            <w:r>
              <w:t xml:space="preserve"> </w:t>
            </w:r>
            <w:fldSimple w:instr="NOTEREF _Ref_Footnote_128 \h \f">
              <w:r>
                <w:rPr>
                  <w:vertAlign w:val="superscript"/>
                </w:rPr>
                <w:t>128</w:t>
              </w:r>
            </w:fldSimple>
          </w:p>
        </w:tc>
      </w:tr>
      <w:tr>
        <w:tc>
          <w:tcPr/>
          <w:p>
            <w:pPr>
              <w:pStyle w:val="Compact"/>
              <w:jc w:val="left"/>
            </w:pPr>
            <w:r>
              <w:t xml:space="preserve">“</w:t>
            </w:r>
            <w:r>
              <w:t xml:space="preserve">0 bytes leave your network</w:t>
            </w:r>
            <w:r>
              <w:t xml:space="preserve">”</w:t>
            </w:r>
          </w:p>
        </w:tc>
        <w:tc>
          <w:tcPr/>
          <w:p>
            <w:pPr>
              <w:pStyle w:val="Compact"/>
              <w:jc w:val="left"/>
            </w:pPr>
            <w:r>
              <w:t xml:space="preserve">Local LLM inference (on-device)</w:t>
            </w:r>
          </w:p>
        </w:tc>
        <w:tc>
          <w:tcPr/>
          <w:p>
            <w:pPr>
              <w:pStyle w:val="Compact"/>
              <w:jc w:val="left"/>
            </w:pPr>
            <w:r>
              <w:t xml:space="preserve">Zero data exposure; eliminates third-party trust dependency</w:t>
            </w:r>
          </w:p>
        </w:tc>
      </w:tr>
      <w:tr>
        <w:tc>
          <w:tcPr/>
          <w:p>
            <w:pPr>
              <w:pStyle w:val="Compact"/>
              <w:jc w:val="left"/>
            </w:pPr>
            <w:r>
              <w:t xml:space="preserve">“</w:t>
            </w:r>
            <w:r>
              <w:t xml:space="preserve">Chain verified: intact</w:t>
            </w:r>
            <w:r>
              <w:t xml:space="preserve">”</w:t>
            </w:r>
          </w:p>
        </w:tc>
        <w:tc>
          <w:tcPr/>
          <w:p>
            <w:pPr>
              <w:pStyle w:val="Compact"/>
              <w:jc w:val="left"/>
            </w:pPr>
            <w:r>
              <w:t xml:space="preserve">Immutable append-only audit log</w:t>
            </w:r>
          </w:p>
        </w:tc>
        <w:tc>
          <w:tcPr/>
          <w:p>
            <w:pPr>
              <w:pStyle w:val="Compact"/>
              <w:jc w:val="left"/>
            </w:pPr>
            <w:r>
              <w:t xml:space="preserve">Real-time cryptographic proof of system integrity</w:t>
            </w:r>
          </w:p>
        </w:tc>
      </w:tr>
      <w:tr>
        <w:tc>
          <w:tcPr/>
          <w:p>
            <w:pPr>
              <w:pStyle w:val="Compact"/>
              <w:jc w:val="left"/>
            </w:pPr>
            <w:r>
              <w:t xml:space="preserve">SOC 2 / ISO 27001 badges</w:t>
            </w:r>
          </w:p>
        </w:tc>
        <w:tc>
          <w:tcPr/>
          <w:p>
            <w:pPr>
              <w:pStyle w:val="Compact"/>
              <w:jc w:val="left"/>
            </w:pPr>
            <w:r>
              <w:t xml:space="preserve">Independent compliance certification</w:t>
            </w:r>
          </w:p>
        </w:tc>
        <w:tc>
          <w:tcPr/>
          <w:p>
            <w:pPr>
              <w:pStyle w:val="Compact"/>
              <w:jc w:val="left"/>
            </w:pPr>
            <w:r>
              <w:t xml:space="preserve">10–20% conversion lift near CTAs</w:t>
            </w:r>
            <w:r>
              <w:t xml:space="preserve"> </w:t>
            </w:r>
            <w:fldSimple w:instr="NOTEREF _Ref_Footnote_171 \h \f">
              <w:r>
                <w:rPr>
                  <w:vertAlign w:val="superscript"/>
                </w:rPr>
                <w:t>171</w:t>
              </w:r>
            </w:fldSimple>
          </w:p>
        </w:tc>
      </w:tr>
      <w:tr>
        <w:tc>
          <w:tcPr/>
          <w:p>
            <w:pPr>
              <w:pStyle w:val="Compact"/>
              <w:jc w:val="left"/>
            </w:pPr>
            <w:r>
              <w:t xml:space="preserve">“</w:t>
            </w:r>
            <w:r>
              <w:t xml:space="preserve">Encrypted at rest (AES-256)</w:t>
            </w:r>
            <w:r>
              <w:t xml:space="preserve">”</w:t>
            </w:r>
          </w:p>
        </w:tc>
        <w:tc>
          <w:tcPr/>
          <w:p>
            <w:pPr>
              <w:pStyle w:val="Compact"/>
              <w:jc w:val="left"/>
            </w:pPr>
            <w:r>
              <w:t xml:space="preserve">NIST-approved field-level encryption</w:t>
            </w:r>
          </w:p>
        </w:tc>
        <w:tc>
          <w:tcPr/>
          <w:p>
            <w:pPr>
              <w:pStyle w:val="Compact"/>
              <w:jc w:val="left"/>
            </w:pPr>
            <w:r>
              <w:t xml:space="preserve">Gold-standard data protection for sensitive compliance data</w:t>
            </w:r>
            <w:r>
              <w:t xml:space="preserve"> </w:t>
            </w:r>
            <w:r>
              <w:rPr>
                <w:vertAlign w:val="superscript"/>
              </w:rPr>
              <w:footnoteReference w:id="172"/>
            </w:r>
          </w:p>
        </w:tc>
      </w:tr>
      <w:tr>
        <w:tc>
          <w:tcPr/>
          <w:p>
            <w:pPr>
              <w:pStyle w:val="Compact"/>
              <w:jc w:val="left"/>
            </w:pPr>
            <w:r>
              <w:t xml:space="preserve">“</w:t>
            </w:r>
            <w:r>
              <w:t xml:space="preserve">TLS 1.3</w:t>
            </w:r>
            <w:r>
              <w:t xml:space="preserve">”</w:t>
            </w:r>
            <w:r>
              <w:t xml:space="preserve"> </w:t>
            </w:r>
            <w:r>
              <w:t xml:space="preserve">indicator</w:t>
            </w:r>
          </w:p>
        </w:tc>
        <w:tc>
          <w:tcPr/>
          <w:p>
            <w:pPr>
              <w:pStyle w:val="Compact"/>
              <w:jc w:val="left"/>
            </w:pPr>
            <w:r>
              <w:t xml:space="preserve">Latest transport layer security</w:t>
            </w:r>
          </w:p>
        </w:tc>
        <w:tc>
          <w:tcPr/>
          <w:p>
            <w:pPr>
              <w:pStyle w:val="Compact"/>
              <w:jc w:val="left"/>
            </w:pPr>
            <w:r>
              <w:t xml:space="preserve">Forward secrecy by default; encrypted post-handshake</w:t>
            </w:r>
            <w:r>
              <w:t xml:space="preserve"> </w:t>
            </w:r>
            <w:r>
              <w:rPr>
                <w:vertAlign w:val="superscript"/>
              </w:rPr>
              <w:footnoteReference w:id="173"/>
            </w:r>
          </w:p>
        </w:tc>
      </w:tr>
    </w:tbl>
    <w:p>
      <w:pPr>
        <w:pStyle w:val="BodyText"/>
      </w:pPr>
      <w:r>
        <w:t xml:space="preserve">Each signal addresses a specific trust question compliance professionals ask when evaluating software.</w:t>
      </w:r>
      <w:r>
        <w:t xml:space="preserve"> </w:t>
      </w:r>
      <w:r>
        <w:t xml:space="preserve">“</w:t>
      </w:r>
      <w:r>
        <w:t xml:space="preserve">Can I trust this platform with our AI classification data?</w:t>
      </w:r>
      <w:r>
        <w:t xml:space="preserve">”</w:t>
      </w:r>
      <w:r>
        <w:t xml:space="preserve"> </w:t>
      </w:r>
      <w:r>
        <w:t xml:space="preserve">The</w:t>
      </w:r>
      <w:r>
        <w:t xml:space="preserve"> </w:t>
      </w:r>
      <w:r>
        <w:t xml:space="preserve">“</w:t>
      </w:r>
      <w:r>
        <w:t xml:space="preserve">0 bytes leave your network</w:t>
      </w:r>
      <w:r>
        <w:t xml:space="preserve">”</w:t>
      </w:r>
      <w:r>
        <w:t xml:space="preserve"> </w:t>
      </w:r>
      <w:r>
        <w:t xml:space="preserve">indicator answers definitively — inference occurs on-device with zero external transmission.</w:t>
      </w:r>
      <w:r>
        <w:t xml:space="preserve"> </w:t>
      </w:r>
      <w:r>
        <w:t xml:space="preserve">“</w:t>
      </w:r>
      <w:r>
        <w:t xml:space="preserve">Can I prove to my auditor that this evidence has not been tampered with?</w:t>
      </w:r>
      <w:r>
        <w:t xml:space="preserve">”</w:t>
      </w:r>
      <w:r>
        <w:t xml:space="preserve"> </w:t>
      </w:r>
      <w:r>
        <w:t xml:space="preserve">The</w:t>
      </w:r>
      <w:r>
        <w:t xml:space="preserve"> </w:t>
      </w:r>
      <w:r>
        <w:t xml:space="preserve">“</w:t>
      </w:r>
      <w:r>
        <w:t xml:space="preserve">HMAC-signed</w:t>
      </w:r>
      <w:r>
        <w:t xml:space="preserve">”</w:t>
      </w:r>
      <w:r>
        <w:t xml:space="preserve"> </w:t>
      </w:r>
      <w:r>
        <w:t xml:space="preserve">badge on every audit chain entry provides cryptographic proof of integrity</w:t>
      </w:r>
      <w:r>
        <w:t xml:space="preserve"> </w:t>
      </w:r>
      <w:fldSimple w:instr="NOTEREF _Ref_Footnote_128 \h \f">
        <w:r>
          <w:rPr>
            <w:vertAlign w:val="superscript"/>
          </w:rPr>
          <w:t>128</w:t>
        </w:r>
      </w:fldSimple>
      <w:r>
        <w:t xml:space="preserve">. The aggregate effect is a compounding trust velocity: every authenticated session, every signed evidence item, and every local inference operation produces a visible signal that accelerates user confidence faster than traditional vendor assessment processes.</w:t>
      </w:r>
    </w:p>
    <w:p>
      <w:pPr>
        <w:pStyle w:val="BodyText"/>
      </w:pPr>
      <w:r>
        <w:t xml:space="preserve">CRP Comply’s existing architecture implements all of these controls: passkey MFA, HMAC-SHA256 audit chain signing, and local LLM mode at zero cost with zero data egress. The strategic opportunity is not to build these features but to make them visible — transforming internal security architecture into external trust signals. Every control rendered in the UI compresses what might require weeks of vendor assessment into moments of interface interaction.</w:t>
      </w:r>
    </w:p>
    <w:p>
      <w:pPr>
        <w:pStyle w:val="BodyText"/>
      </w:pPr>
      <w:r>
        <w:t xml:space="preserve">The regulatory environment reinforces this approach. SOC 2 adoption surged 40% in 2024, with 39% of organisations requiring security certifications before onboarding SaaS vendors</w:t>
      </w:r>
      <w:r>
        <w:t xml:space="preserve"> </w:t>
      </w:r>
      <w:fldSimple w:instr="NOTEREF _Ref_Footnote_134 \h \f">
        <w:r>
          <w:rPr>
            <w:vertAlign w:val="superscript"/>
          </w:rPr>
          <w:t>134</w:t>
        </w:r>
      </w:fldSimple>
      <w:r>
        <w:t xml:space="preserve">. The EU AI Act Article 15 mandates cybersecurity appropriate to high-risk AI systems</w:t>
      </w:r>
      <w:r>
        <w:t xml:space="preserve"> </w:t>
      </w:r>
      <w:fldSimple w:instr="NOTEREF _Ref_Footnote_41 \h \f">
        <w:r>
          <w:rPr>
            <w:vertAlign w:val="superscript"/>
          </w:rPr>
          <w:t>41</w:t>
        </w:r>
      </w:fldSimple>
      <w:r>
        <w:t xml:space="preserve">, while GDPR Article 32 requires technical measures proportionate to processing risk</w:t>
      </w:r>
      <w:r>
        <w:t xml:space="preserve"> </w:t>
      </w:r>
      <w:fldSimple w:instr="NOTEREF _Ref_Footnote_41 \h \f">
        <w:r>
          <w:rPr>
            <w:vertAlign w:val="superscript"/>
          </w:rPr>
          <w:t>41</w:t>
        </w:r>
      </w:fldSimple>
      <w:r>
        <w:t xml:space="preserve">. ISO 27001:2022 Annex A specifies authentication controls including MFA, SSO, and passwordless options</w:t>
      </w:r>
      <w:r>
        <w:t xml:space="preserve"> </w:t>
      </w:r>
      <w:fldSimple w:instr="NOTEREF _Ref_Footnote_166 \h \f">
        <w:r>
          <w:rPr>
            <w:vertAlign w:val="superscript"/>
          </w:rPr>
          <w:t>166</w:t>
        </w:r>
      </w:fldSimple>
      <w:r>
        <w:t xml:space="preserve">. By making compliance-mandated controls visible, CRP Comply transforms regulatory burden into competitive differentiation — demonstrating that security architecture, when exposed to the user, is simultaneously protection and persuasion.</w:t>
      </w:r>
    </w:p>
    <w:p>
      <w:r>
        <w:pict>
          <v:rect style="width:0;height:1.5pt" o:hralign="center" o:hrstd="t" o:hr="t"/>
        </w:pict>
      </w:r>
    </w:p>
    <w:bookmarkEnd w:id="87"/>
    <w:bookmarkEnd w:id="88"/>
    <w:bookmarkStart w:id="96" w:name="devops-reliability-observability"/>
    <w:p>
      <w:pPr>
        <w:pStyle w:val="Heading2"/>
      </w:pPr>
      <w:r>
        <w:t xml:space="preserve">9. DevOps Reliability &amp; Observability</w:t>
      </w:r>
    </w:p>
    <w:p>
      <w:pPr>
        <w:pStyle w:val="FirstParagraph"/>
      </w:pPr>
      <w:r>
        <w:t xml:space="preserve">Reliability is invisible until it fails. For a compliance platform handling audit-critical data,</w:t>
      </w:r>
      <w:r>
        <w:t xml:space="preserve"> </w:t>
      </w:r>
      <w:r>
        <w:t xml:space="preserve">“</w:t>
      </w:r>
      <w:r>
        <w:t xml:space="preserve">it just works</w:t>
      </w:r>
      <w:r>
        <w:t xml:space="preserve">”</w:t>
      </w:r>
      <w:r>
        <w:t xml:space="preserve"> </w:t>
      </w:r>
      <w:r>
        <w:t xml:space="preserve">is not a convenience — it is a contractual requirement. This chapter examines the DevOps practices, observability frameworks, and reliability engineering patterns that ensure CRP Comply sustains a 99.9%+ uptime experience across free-tier developers and Enterprise auditors alike.</w:t>
      </w:r>
    </w:p>
    <w:bookmarkStart w:id="89" w:name="feature-flags-for-gradual-rollout"/>
    <w:p>
      <w:pPr>
        <w:pStyle w:val="Heading3"/>
      </w:pPr>
      <w:r>
        <w:t xml:space="preserve">9.1 Feature Flags for Gradual Rollout</w:t>
      </w:r>
    </w:p>
    <w:p>
      <w:pPr>
        <w:pStyle w:val="FirstParagraph"/>
      </w:pPr>
      <w:r>
        <w:t xml:space="preserve">Feature flags transform deployment from a binary release into a controlled experiment. When properly implemented, they reduce deployment-related incidents by 89% by enabling progressive rollout from 0% to 5% to 25% to 100%, with instant kill switches at every stage</w:t>
      </w:r>
      <w:r>
        <w:t xml:space="preserve"> </w:t>
      </w:r>
      <w:fldSimple w:instr="NOTEREF _Ref_Footnote_14 \h \f">
        <w:r>
          <w:rPr>
            <w:vertAlign w:val="superscript"/>
          </w:rPr>
          <w:t>14</w:t>
        </w:r>
      </w:fldSimple>
      <w:r>
        <w:t xml:space="preserve">. LaunchDarkly propagates flag changes globally in under 200 ms without redeployment, supporting per-tenant targeting by plan tier, geography, and device</w:t>
      </w:r>
      <w:r>
        <w:t xml:space="preserve"> </w:t>
      </w:r>
      <w:r>
        <w:rPr>
          <w:vertAlign w:val="superscript"/>
        </w:rPr>
        <w:footnoteReference w:id="174"/>
      </w:r>
      <w:r>
        <w:t xml:space="preserve">. For CRP Comply’s multi-tenant architecture, this means AI features can be enabled selectively — Free users see document classification, Pro users gain streaming generation, and Enterprise tenants unlock autonomous compliance drafting.</w:t>
      </w:r>
    </w:p>
    <w:p>
      <w:pPr>
        <w:pStyle w:val="BodyText"/>
      </w:pPr>
      <w:r>
        <w:t xml:space="preserve">The open-source alternative Unleash supports 5{,}000–50{,}000 self-hosted users at USD 276–600 per year</w:t>
      </w:r>
      <w:r>
        <w:t xml:space="preserve"> </w:t>
      </w:r>
      <w:fldSimple w:instr="NOTEREF _Ref_Footnote_14 \h \f">
        <w:r>
          <w:rPr>
            <w:vertAlign w:val="superscript"/>
          </w:rPr>
          <w:t>14</w:t>
        </w:r>
      </w:fldSimple>
      <w:r>
        <w:t xml:space="preserve">. GrowthBook’s Safe Rollouts connect rollouts to guardrail metrics, automatically surfacing warnings if a release degrades error rates or latency</w:t>
      </w:r>
      <w:r>
        <w:t xml:space="preserve"> </w:t>
      </w:r>
      <w:fldSimple w:instr="NOTEREF _Ref_Footnote_111 \h \f">
        <w:r>
          <w:rPr>
            <w:vertAlign w:val="superscript"/>
          </w:rPr>
          <w:t>111</w:t>
        </w:r>
      </w:fldSimple>
      <w:r>
        <w:t xml:space="preserve">. Canary releases follow a disciplined progression: internal users, then 1%, 5%, 25%, and finally 100%, with monitoring at each stage</w:t>
      </w:r>
      <w:r>
        <w:t xml:space="preserve"> </w:t>
      </w:r>
      <w:r>
        <w:rPr>
          <w:vertAlign w:val="superscript"/>
        </w:rPr>
        <w:footnoteReference w:id="175"/>
      </w:r>
      <w:r>
        <w:t xml:space="preserve">. For AI features specifically, kill switches are non-negotiable — if a model produces hallucinated regulatory citations, a feature flag disables that capability in under 200 ms</w:t>
      </w:r>
      <w:r>
        <w:t xml:space="preserve"> </w:t>
      </w:r>
      <w:fldSimple w:instr="NOTEREF _Ref_Footnote_174 \h \f">
        <w:r>
          <w:rPr>
            <w:vertAlign w:val="superscript"/>
          </w:rPr>
          <w:t>174</w:t>
        </w:r>
      </w:fldSimple>
      <w:r>
        <w:t xml:space="preserve">. Best practices include clear naming conventions, short-lived flags, access controls, and regular audits to remove stale toggles</w:t>
      </w:r>
      <w:r>
        <w:t xml:space="preserve"> </w:t>
      </w:r>
      <w:r>
        <w:rPr>
          <w:vertAlign w:val="superscript"/>
        </w:rPr>
        <w:footnoteReference w:id="176"/>
      </w:r>
      <w:r>
        <w:t xml:space="preserve">.</w:t>
      </w:r>
    </w:p>
    <w:bookmarkEnd w:id="89"/>
    <w:bookmarkStart w:id="90" w:name="observability-pillars"/>
    <w:p>
      <w:pPr>
        <w:pStyle w:val="Heading3"/>
      </w:pPr>
      <w:r>
        <w:t xml:space="preserve">9.2 Observability Pillars</w:t>
      </w:r>
    </w:p>
    <w:p>
      <w:pPr>
        <w:pStyle w:val="FirstParagraph"/>
      </w:pPr>
      <w:r>
        <w:t xml:space="preserve">Observability rests on three pillars: distributed traces, time-series metrics, and structured logs. OpenTelemetry provides vendor-neutral automatic instrumentation for distributed tracing, though this introduces 7–19% latency overhead for simple endpoints and 16–40% for complex queries — an acceptable trade-off for compliance-critical visibility</w:t>
      </w:r>
      <w:r>
        <w:t xml:space="preserve"> </w:t>
      </w:r>
      <w:r>
        <w:rPr>
          <w:vertAlign w:val="superscript"/>
        </w:rPr>
        <w:footnoteReference w:id="177"/>
      </w:r>
      <w:r>
        <w:t xml:space="preserve">. OpenTelemetry also offers native instrumentation for OpenAI and Anthropic SDKs, auto-capturing traces without manual span creation</w:t>
      </w:r>
      <w:r>
        <w:t xml:space="preserve"> </w:t>
      </w:r>
      <w:r>
        <w:rPr>
          <w:vertAlign w:val="superscript"/>
        </w:rPr>
        <w:footnoteReference w:id="178"/>
      </w:r>
      <w:r>
        <w:t xml:space="preserve">.</w:t>
      </w:r>
    </w:p>
    <w:p>
      <w:pPr>
        <w:pStyle w:val="BodyText"/>
      </w:pPr>
      <w:r>
        <w:t xml:space="preserve">Prometheus scrapes metrics from configured endpoints, storing time-series data in an optimised TSDB with PromQL querying and Alertmanager for notifications</w:t>
      </w:r>
      <w:r>
        <w:t xml:space="preserve"> </w:t>
      </w:r>
      <w:fldSimple w:instr="NOTEREF _Ref_Footnote_91 \h \f">
        <w:r>
          <w:rPr>
            <w:vertAlign w:val="superscript"/>
          </w:rPr>
          <w:t>91</w:t>
        </w:r>
      </w:fldSimple>
      <w:r>
        <w:t xml:space="preserve">. Grafana integrates for dashboard visualisation with graphs, gauges, and real-time alerting</w:t>
      </w:r>
      <w:r>
        <w:t xml:space="preserve"> </w:t>
      </w:r>
      <w:fldSimple w:instr="NOTEREF _Ref_Footnote_91 \h \f">
        <w:r>
          <w:rPr>
            <w:vertAlign w:val="superscript"/>
          </w:rPr>
          <w:t>91</w:t>
        </w:r>
      </w:fldSimple>
      <w:r>
        <w:t xml:space="preserve">. The ELK Stack handles billions of logs with millisecond search; JSON-based structured logging with correlation IDs traces requests across distributed services</w:t>
      </w:r>
      <w:r>
        <w:t xml:space="preserve"> </w:t>
      </w:r>
      <w:r>
        <w:rPr>
          <w:vertAlign w:val="superscript"/>
        </w:rPr>
        <w:footnoteReference w:id="179"/>
      </w:r>
      <w:r>
        <w:t xml:space="preserve">.</w:t>
      </w:r>
    </w:p>
    <w:p>
      <w:pPr>
        <w:pStyle w:val="BodyText"/>
      </w:pPr>
      <w:r>
        <w:t xml:space="preserve">Real User Monitoring (RUM) captures Core Web Vitals from actual visitors. Google’s</w:t>
      </w:r>
      <w:r>
        <w:t xml:space="preserve"> </w:t>
      </w:r>
      <w:r>
        <w:t xml:space="preserve">“</w:t>
      </w:r>
      <w:r>
        <w:t xml:space="preserve">good</w:t>
      </w:r>
      <w:r>
        <w:t xml:space="preserve">”</w:t>
      </w:r>
      <w:r>
        <w:t xml:space="preserve"> </w:t>
      </w:r>
      <w:r>
        <w:t xml:space="preserve">thresholds — Largest Contentful Paint (LCP) ≤ 2.5 s, Interaction to Next Paint (INP) ≤ 200 ms, and Cumulative Layout Shift (CLS) ≤ 0.1 — are part of the search ranking algorithm and directly impact retention</w:t>
      </w:r>
      <w:r>
        <w:t xml:space="preserve"> </w:t>
      </w:r>
      <w:r>
        <w:rPr>
          <w:vertAlign w:val="superscript"/>
        </w:rPr>
        <w:footnoteReference w:id="180"/>
      </w:r>
      <w:r>
        <w:t xml:space="preserve">. Synthetic monitoring with 30–60 second health checks from multiple global regions prevents false positives from single-location network issues</w:t>
      </w:r>
      <w:r>
        <w:t xml:space="preserve"> </w:t>
      </w:r>
      <w:r>
        <w:rPr>
          <w:vertAlign w:val="superscript"/>
        </w:rPr>
        <w:footnoteReference w:id="181"/>
      </w:r>
      <w:r>
        <w:t xml:space="preserve">.</w:t>
      </w:r>
    </w:p>
    <w:tbl>
      <w:tblPr>
        <w:tblStyle w:val="Table"/>
        <w:tblW w:type="pct" w:w="5000"/>
        <w:tblLook w:firstRow="1" w:lastRow="0" w:firstColumn="0" w:lastColumn="0" w:noHBand="0" w:noVBand="0" w:val="0020"/>
      </w:tblPr>
      <w:tblGrid>
        <w:gridCol w:w="1893"/>
        <w:gridCol w:w="2238"/>
        <w:gridCol w:w="1721"/>
        <w:gridCol w:w="2066"/>
      </w:tblGrid>
      <w:tr>
        <w:trPr>
          <w:tblHeader w:val="true"/>
        </w:trPr>
        <w:tc>
          <w:tcPr/>
          <w:p>
            <w:pPr>
              <w:pStyle w:val="Compact"/>
              <w:jc w:val="left"/>
            </w:pPr>
            <w:r>
              <w:t xml:space="preserve">Component</w:t>
            </w:r>
          </w:p>
        </w:tc>
        <w:tc>
          <w:tcPr/>
          <w:p>
            <w:pPr>
              <w:pStyle w:val="Compact"/>
              <w:jc w:val="left"/>
            </w:pPr>
            <w:r>
              <w:t xml:space="preserve">Primary Tool</w:t>
            </w:r>
          </w:p>
        </w:tc>
        <w:tc>
          <w:tcPr/>
          <w:p>
            <w:pPr>
              <w:pStyle w:val="Compact"/>
              <w:jc w:val="left"/>
            </w:pPr>
            <w:r>
              <w:t xml:space="preserve">Function</w:t>
            </w:r>
          </w:p>
        </w:tc>
        <w:tc>
          <w:tcPr/>
          <w:p>
            <w:pPr>
              <w:pStyle w:val="Compact"/>
              <w:jc w:val="left"/>
            </w:pPr>
            <w:r>
              <w:t xml:space="preserve">Key Metric</w:t>
            </w:r>
          </w:p>
        </w:tc>
      </w:tr>
      <w:tr>
        <w:tc>
          <w:tcPr/>
          <w:p>
            <w:pPr>
              <w:pStyle w:val="Compact"/>
              <w:jc w:val="left"/>
            </w:pPr>
            <w:r>
              <w:t xml:space="preserve">Distributed Tracing</w:t>
            </w:r>
          </w:p>
        </w:tc>
        <w:tc>
          <w:tcPr/>
          <w:p>
            <w:pPr>
              <w:pStyle w:val="Compact"/>
              <w:jc w:val="left"/>
            </w:pPr>
            <w:r>
              <w:t xml:space="preserve">OpenTelemetry</w:t>
            </w:r>
          </w:p>
        </w:tc>
        <w:tc>
          <w:tcPr/>
          <w:p>
            <w:pPr>
              <w:pStyle w:val="Compact"/>
              <w:jc w:val="left"/>
            </w:pPr>
            <w:r>
              <w:t xml:space="preserve">Request flow across LLM pipeline, API, database</w:t>
            </w:r>
          </w:p>
        </w:tc>
        <w:tc>
          <w:tcPr/>
          <w:p>
            <w:pPr>
              <w:pStyle w:val="Compact"/>
              <w:jc w:val="left"/>
            </w:pPr>
            <w:r>
              <w:t xml:space="preserve">Span latency, error rate per service</w:t>
            </w:r>
            <w:r>
              <w:t xml:space="preserve"> </w:t>
            </w:r>
            <w:fldSimple w:instr="NOTEREF _Ref_Footnote_177 \h \f">
              <w:r>
                <w:rPr>
                  <w:vertAlign w:val="superscript"/>
                </w:rPr>
                <w:t>177</w:t>
              </w:r>
            </w:fldSimple>
          </w:p>
        </w:tc>
      </w:tr>
      <w:tr>
        <w:tc>
          <w:tcPr/>
          <w:p>
            <w:pPr>
              <w:pStyle w:val="Compact"/>
              <w:jc w:val="left"/>
            </w:pPr>
            <w:r>
              <w:t xml:space="preserve">Time-Series Metrics</w:t>
            </w:r>
          </w:p>
        </w:tc>
        <w:tc>
          <w:tcPr/>
          <w:p>
            <w:pPr>
              <w:pStyle w:val="Compact"/>
              <w:jc w:val="left"/>
            </w:pPr>
            <w:r>
              <w:t xml:space="preserve">Prometheus + Grafana</w:t>
            </w:r>
          </w:p>
        </w:tc>
        <w:tc>
          <w:tcPr/>
          <w:p>
            <w:pPr>
              <w:pStyle w:val="Compact"/>
              <w:jc w:val="left"/>
            </w:pPr>
            <w:r>
              <w:t xml:space="preserve">Infrastructure and application health</w:t>
            </w:r>
          </w:p>
        </w:tc>
        <w:tc>
          <w:tcPr/>
          <w:p>
            <w:pPr>
              <w:pStyle w:val="Compact"/>
              <w:jc w:val="left"/>
            </w:pPr>
            <w:r>
              <w:t xml:space="preserve">CPU, memory, request rate, burn rate</w:t>
            </w:r>
            <w:r>
              <w:t xml:space="preserve"> </w:t>
            </w:r>
            <w:fldSimple w:instr="NOTEREF _Ref_Footnote_91 \h \f">
              <w:r>
                <w:rPr>
                  <w:vertAlign w:val="superscript"/>
                </w:rPr>
                <w:t>91</w:t>
              </w:r>
            </w:fldSimple>
          </w:p>
        </w:tc>
      </w:tr>
      <w:tr>
        <w:tc>
          <w:tcPr/>
          <w:p>
            <w:pPr>
              <w:pStyle w:val="Compact"/>
              <w:jc w:val="left"/>
            </w:pPr>
            <w:r>
              <w:t xml:space="preserve">Structured Logging</w:t>
            </w:r>
          </w:p>
        </w:tc>
        <w:tc>
          <w:tcPr/>
          <w:p>
            <w:pPr>
              <w:pStyle w:val="Compact"/>
              <w:jc w:val="left"/>
            </w:pPr>
            <w:r>
              <w:t xml:space="preserve">ELK Stack</w:t>
            </w:r>
          </w:p>
        </w:tc>
        <w:tc>
          <w:tcPr/>
          <w:p>
            <w:pPr>
              <w:pStyle w:val="Compact"/>
              <w:jc w:val="left"/>
            </w:pPr>
            <w:r>
              <w:t xml:space="preserve">Centralised log search with correlation IDs</w:t>
            </w:r>
          </w:p>
        </w:tc>
        <w:tc>
          <w:tcPr/>
          <w:p>
            <w:pPr>
              <w:pStyle w:val="Compact"/>
              <w:jc w:val="left"/>
            </w:pPr>
            <w:r>
              <w:t xml:space="preserve">JSON logs with tenant_id, request_id, trace_id</w:t>
            </w:r>
            <w:r>
              <w:t xml:space="preserve"> </w:t>
            </w:r>
            <w:fldSimple w:instr="NOTEREF _Ref_Footnote_179 \h \f">
              <w:r>
                <w:rPr>
                  <w:vertAlign w:val="superscript"/>
                </w:rPr>
                <w:t>179</w:t>
              </w:r>
            </w:fldSimple>
          </w:p>
        </w:tc>
      </w:tr>
      <w:tr>
        <w:tc>
          <w:tcPr/>
          <w:p>
            <w:pPr>
              <w:pStyle w:val="Compact"/>
              <w:jc w:val="left"/>
            </w:pPr>
            <w:r>
              <w:t xml:space="preserve">Real User Monitoring</w:t>
            </w:r>
          </w:p>
        </w:tc>
        <w:tc>
          <w:tcPr/>
          <w:p>
            <w:pPr>
              <w:pStyle w:val="Compact"/>
              <w:jc w:val="left"/>
            </w:pPr>
            <w:r>
              <w:t xml:space="preserve">Web Vitals API + RUM</w:t>
            </w:r>
          </w:p>
        </w:tc>
        <w:tc>
          <w:tcPr/>
          <w:p>
            <w:pPr>
              <w:pStyle w:val="Compact"/>
              <w:jc w:val="left"/>
            </w:pPr>
            <w:r>
              <w:t xml:space="preserve">Core Web Vitals from actual users</w:t>
            </w:r>
          </w:p>
        </w:tc>
        <w:tc>
          <w:tcPr/>
          <w:p>
            <w:pPr>
              <w:pStyle w:val="Compact"/>
              <w:jc w:val="left"/>
            </w:pPr>
            <w:r>
              <w:t xml:space="preserve">LCP ≤ 2.5 s, INP ≤ 200 ms, CLS ≤ 0.1</w:t>
            </w:r>
            <w:r>
              <w:t xml:space="preserve"> </w:t>
            </w:r>
            <w:fldSimple w:instr="NOTEREF _Ref_Footnote_180 \h \f">
              <w:r>
                <w:rPr>
                  <w:vertAlign w:val="superscript"/>
                </w:rPr>
                <w:t>180</w:t>
              </w:r>
            </w:fldSimple>
          </w:p>
        </w:tc>
      </w:tr>
      <w:tr>
        <w:tc>
          <w:tcPr/>
          <w:p>
            <w:pPr>
              <w:pStyle w:val="Compact"/>
              <w:jc w:val="left"/>
            </w:pPr>
            <w:r>
              <w:t xml:space="preserve">Synthetic Monitoring</w:t>
            </w:r>
          </w:p>
        </w:tc>
        <w:tc>
          <w:tcPr/>
          <w:p>
            <w:pPr>
              <w:pStyle w:val="Compact"/>
              <w:jc w:val="left"/>
            </w:pPr>
            <w:r>
              <w:t xml:space="preserve">Prometheus Blackbox Exporter</w:t>
            </w:r>
          </w:p>
        </w:tc>
        <w:tc>
          <w:tcPr/>
          <w:p>
            <w:pPr>
              <w:pStyle w:val="Compact"/>
              <w:jc w:val="left"/>
            </w:pPr>
            <w:r>
              <w:t xml:space="preserve">Uptime verification from global regions</w:t>
            </w:r>
          </w:p>
        </w:tc>
        <w:tc>
          <w:tcPr/>
          <w:p>
            <w:pPr>
              <w:pStyle w:val="Compact"/>
              <w:jc w:val="left"/>
            </w:pPr>
            <w:r>
              <w:t xml:space="preserve">HTTP health, API response validation</w:t>
            </w:r>
            <w:r>
              <w:t xml:space="preserve"> </w:t>
            </w:r>
            <w:fldSimple w:instr="NOTEREF _Ref_Footnote_181 \h \f">
              <w:r>
                <w:rPr>
                  <w:vertAlign w:val="superscript"/>
                </w:rPr>
                <w:t>181</w:t>
              </w:r>
            </w:fldSimple>
          </w:p>
        </w:tc>
      </w:tr>
      <w:tr>
        <w:tc>
          <w:tcPr/>
          <w:p>
            <w:pPr>
              <w:pStyle w:val="Compact"/>
              <w:jc w:val="left"/>
            </w:pPr>
            <w:r>
              <w:t xml:space="preserve">LLM Tracing</w:t>
            </w:r>
          </w:p>
        </w:tc>
        <w:tc>
          <w:tcPr/>
          <w:p>
            <w:pPr>
              <w:pStyle w:val="Compact"/>
              <w:jc w:val="left"/>
            </w:pPr>
            <w:r>
              <w:t xml:space="preserve">OpenTelemetry + LangSmith</w:t>
            </w:r>
          </w:p>
        </w:tc>
        <w:tc>
          <w:tcPr/>
          <w:p>
            <w:pPr>
              <w:pStyle w:val="Compact"/>
              <w:jc w:val="left"/>
            </w:pPr>
            <w:r>
              <w:t xml:space="preserve">Token usage, cost, latency per model</w:t>
            </w:r>
          </w:p>
        </w:tc>
        <w:tc>
          <w:tcPr/>
          <w:p>
            <w:pPr>
              <w:pStyle w:val="Compact"/>
              <w:jc w:val="left"/>
            </w:pPr>
            <w:r>
              <w:t xml:space="preserve">Tokens/sec, time-to-first-token, cost/tenant</w:t>
            </w:r>
            <w:r>
              <w:t xml:space="preserve"> </w:t>
            </w:r>
            <w:fldSimple w:instr="NOTEREF _Ref_Footnote_178 \h \f">
              <w:r>
                <w:rPr>
                  <w:vertAlign w:val="superscript"/>
                </w:rPr>
                <w:t>178</w:t>
              </w:r>
            </w:fldSimple>
            <w:r>
              <w:t xml:space="preserve"> </w:t>
            </w:r>
            <w:r>
              <w:rPr>
                <w:vertAlign w:val="superscript"/>
              </w:rPr>
              <w:footnoteReference w:id="182"/>
            </w:r>
          </w:p>
        </w:tc>
      </w:tr>
    </w:tbl>
    <w:p>
      <w:pPr>
        <w:pStyle w:val="BodyText"/>
      </w:pPr>
      <w:r>
        <w:t xml:space="preserve">The observability stack above operates as an integrated system rather than isolated tools. Correlation IDs serve as the connective tissue: a single</w:t>
      </w:r>
      <w:r>
        <w:t xml:space="preserve"> </w:t>
      </w:r>
      <w:r>
        <w:rPr>
          <w:rStyle w:val="VerbatimChar"/>
        </w:rPr>
        <w:t xml:space="preserve">request_id</w:t>
      </w:r>
      <w:r>
        <w:t xml:space="preserve"> </w:t>
      </w:r>
      <w:r>
        <w:t xml:space="preserve">propagates through OpenTelemetry traces, Prometheus metrics labels, and ELK log entries, enabling a support engineer to trace a failed compliance document generation from the web frontend through the LLM API to the specific database query in under 30 seconds. This end-to-end traceability is essential for a platform where audit integrity depends on understanding exactly what happened and in what sequence.</w:t>
      </w:r>
    </w:p>
    <w:bookmarkEnd w:id="90"/>
    <w:bookmarkStart w:id="94" w:name="slos-incident-response"/>
    <w:p>
      <w:pPr>
        <w:pStyle w:val="Heading3"/>
      </w:pPr>
      <w:r>
        <w:t xml:space="preserve">9.3 SLOs &amp; Incident Response</w:t>
      </w:r>
    </w:p>
    <w:p>
      <w:pPr>
        <w:pStyle w:val="FirstParagraph"/>
      </w:pPr>
      <w:r>
        <w:t xml:space="preserve">Site Reliability Engineering begins with the principle that 100% reliability is the wrong target — a finite error budget allows agile development while keeping reliability in check</w:t>
      </w:r>
      <w:r>
        <w:t xml:space="preserve"> </w:t>
      </w:r>
      <w:r>
        <w:rPr>
          <w:vertAlign w:val="superscript"/>
        </w:rPr>
        <w:footnoteReference w:id="183"/>
      </w:r>
      <w:r>
        <w:t xml:space="preserve">. A 99.9% availability SLO yields a 0.1% error budget equivalent to approximately 43.2 minutes of allowable downtime per month</w:t>
      </w:r>
      <w:r>
        <w:t xml:space="preserve"> </w:t>
      </w:r>
      <w:fldSimple w:instr="NOTEREF _Ref_Footnote_183 \h \f">
        <w:r>
          <w:rPr>
            <w:vertAlign w:val="superscript"/>
          </w:rPr>
          <w:t>183</w:t>
        </w:r>
      </w:fldSimple>
      <w:r>
        <w:t xml:space="preserve">. Google’s multi-window, multi-burn-rate alerting provides the operational framework for protecting this budget.</w:t>
      </w:r>
    </w:p>
    <w:p>
      <w:pPr>
        <w:pStyle w:val="BodyText"/>
      </w:pPr>
      <w:r>
        <w:t xml:space="preserve">Burn rate measures how fast the error budget is consumed: a rate of 1 means budget exhaustion in 30 days, while 14.4 consumes 2% in one hour</w:t>
      </w:r>
      <w:r>
        <w:t xml:space="preserve"> </w:t>
      </w:r>
      <w:r>
        <w:rPr>
          <w:vertAlign w:val="superscript"/>
        </w:rPr>
        <w:footnoteReference w:id="184"/>
      </w:r>
      <w:r>
        <w:t xml:space="preserve">. The multi-window approach pairs a short window (one-twelfth of the long window) with each threshold, preventing spikes from triggering pages while ensuring alerts clear within minutes of resolution</w:t>
      </w:r>
      <w:r>
        <w:t xml:space="preserve"> </w:t>
      </w:r>
      <w:r>
        <w:rPr>
          <w:vertAlign w:val="superscript"/>
        </w:rPr>
        <w:footnoteReference w:id="185"/>
      </w:r>
      <w:r>
        <w:t xml:space="preserve">. Datadog recommends burn rate over simple error rate because it captures both actual and expected error rates in one standardised number</w:t>
      </w:r>
      <w:r>
        <w:t xml:space="preserve"> </w:t>
      </w:r>
      <w:r>
        <w:rPr>
          <w:vertAlign w:val="superscript"/>
        </w:rPr>
        <w:footnoteReference w:id="186"/>
      </w:r>
      <w:r>
        <w:t xml:space="preserve">.</w:t>
      </w:r>
    </w:p>
    <w:tbl>
      <w:tblPr>
        <w:tblStyle w:val="Table"/>
        <w:tblW w:type="pct" w:w="5000"/>
        <w:tblLook w:firstRow="1" w:lastRow="0" w:firstColumn="0" w:lastColumn="0" w:noHBand="0" w:noVBand="0" w:val="0020"/>
      </w:tblPr>
      <w:tblGrid>
        <w:gridCol w:w="1116"/>
        <w:gridCol w:w="1116"/>
        <w:gridCol w:w="1320"/>
        <w:gridCol w:w="1421"/>
        <w:gridCol w:w="1218"/>
        <w:gridCol w:w="1726"/>
      </w:tblGrid>
      <w:tr>
        <w:trPr>
          <w:tblHeader w:val="true"/>
        </w:trPr>
        <w:tc>
          <w:tcPr/>
          <w:p>
            <w:pPr>
              <w:pStyle w:val="Compact"/>
              <w:jc w:val="left"/>
            </w:pPr>
            <w:r>
              <w:t xml:space="preserve">SLO Target</w:t>
            </w:r>
          </w:p>
        </w:tc>
        <w:tc>
          <w:tcPr/>
          <w:p>
            <w:pPr>
              <w:pStyle w:val="Compact"/>
              <w:jc w:val="left"/>
            </w:pPr>
            <w:r>
              <w:t xml:space="preserve">Burn Rate</w:t>
            </w:r>
          </w:p>
        </w:tc>
        <w:tc>
          <w:tcPr/>
          <w:p>
            <w:pPr>
              <w:pStyle w:val="Compact"/>
              <w:jc w:val="left"/>
            </w:pPr>
            <w:r>
              <w:t xml:space="preserve">Long Window</w:t>
            </w:r>
          </w:p>
        </w:tc>
        <w:tc>
          <w:tcPr/>
          <w:p>
            <w:pPr>
              <w:pStyle w:val="Compact"/>
              <w:jc w:val="left"/>
            </w:pPr>
            <w:r>
              <w:t xml:space="preserve">Short Window</w:t>
            </w:r>
          </w:p>
        </w:tc>
        <w:tc>
          <w:tcPr/>
          <w:p>
            <w:pPr>
              <w:pStyle w:val="Compact"/>
              <w:jc w:val="left"/>
            </w:pPr>
            <w:r>
              <w:t xml:space="preserve">Alert Type</w:t>
            </w:r>
          </w:p>
        </w:tc>
        <w:tc>
          <w:tcPr/>
          <w:p>
            <w:pPr>
              <w:pStyle w:val="Compact"/>
              <w:jc w:val="left"/>
            </w:pPr>
            <w:r>
              <w:t xml:space="preserve">Budget Consumed</w:t>
            </w:r>
          </w:p>
        </w:tc>
      </w:tr>
      <w:tr>
        <w:tc>
          <w:tcPr/>
          <w:p>
            <w:pPr>
              <w:pStyle w:val="Compact"/>
              <w:jc w:val="left"/>
            </w:pPr>
            <w:r>
              <w:t xml:space="preserve">99.9% availability</w:t>
            </w:r>
          </w:p>
        </w:tc>
        <w:tc>
          <w:tcPr/>
          <w:p>
            <w:pPr>
              <w:pStyle w:val="Compact"/>
              <w:jc w:val="left"/>
            </w:pPr>
            <w:r>
              <w:t xml:space="preserve">14.4×</w:t>
            </w:r>
          </w:p>
        </w:tc>
        <w:tc>
          <w:tcPr/>
          <w:p>
            <w:pPr>
              <w:pStyle w:val="Compact"/>
              <w:jc w:val="left"/>
            </w:pPr>
            <w:r>
              <w:t xml:space="preserve">1 hour</w:t>
            </w:r>
          </w:p>
        </w:tc>
        <w:tc>
          <w:tcPr/>
          <w:p>
            <w:pPr>
              <w:pStyle w:val="Compact"/>
              <w:jc w:val="left"/>
            </w:pPr>
            <w:r>
              <w:t xml:space="preserve">5 minutes</w:t>
            </w:r>
          </w:p>
        </w:tc>
        <w:tc>
          <w:tcPr/>
          <w:p>
            <w:pPr>
              <w:pStyle w:val="Compact"/>
              <w:jc w:val="left"/>
            </w:pPr>
            <w:r>
              <w:t xml:space="preserve">Page (critical)</w:t>
            </w:r>
          </w:p>
        </w:tc>
        <w:tc>
          <w:tcPr/>
          <w:p>
            <w:pPr>
              <w:pStyle w:val="Compact"/>
              <w:jc w:val="left"/>
            </w:pPr>
            <w:r>
              <w:t xml:space="preserve">2%</w:t>
            </w:r>
            <w:r>
              <w:t xml:space="preserve"> </w:t>
            </w:r>
            <w:fldSimple w:instr="NOTEREF _Ref_Footnote_185 \h \f">
              <w:r>
                <w:rPr>
                  <w:vertAlign w:val="superscript"/>
                </w:rPr>
                <w:t>185</w:t>
              </w:r>
            </w:fldSimple>
          </w:p>
        </w:tc>
      </w:tr>
      <w:tr>
        <w:tc>
          <w:tcPr/>
          <w:p>
            <w:pPr>
              <w:pStyle w:val="Compact"/>
              <w:jc w:val="left"/>
            </w:pPr>
            <w:r>
              <w:t xml:space="preserve">99.9% availability</w:t>
            </w:r>
          </w:p>
        </w:tc>
        <w:tc>
          <w:tcPr/>
          <w:p>
            <w:pPr>
              <w:pStyle w:val="Compact"/>
              <w:jc w:val="left"/>
            </w:pPr>
            <w:r>
              <w:t xml:space="preserve">6×</w:t>
            </w:r>
          </w:p>
        </w:tc>
        <w:tc>
          <w:tcPr/>
          <w:p>
            <w:pPr>
              <w:pStyle w:val="Compact"/>
              <w:jc w:val="left"/>
            </w:pPr>
            <w:r>
              <w:t xml:space="preserve">6 hours</w:t>
            </w:r>
          </w:p>
        </w:tc>
        <w:tc>
          <w:tcPr/>
          <w:p>
            <w:pPr>
              <w:pStyle w:val="Compact"/>
              <w:jc w:val="left"/>
            </w:pPr>
            <w:r>
              <w:t xml:space="preserve">30 minutes</w:t>
            </w:r>
          </w:p>
        </w:tc>
        <w:tc>
          <w:tcPr/>
          <w:p>
            <w:pPr>
              <w:pStyle w:val="Compact"/>
              <w:jc w:val="left"/>
            </w:pPr>
            <w:r>
              <w:t xml:space="preserve">Page (warning)</w:t>
            </w:r>
          </w:p>
        </w:tc>
        <w:tc>
          <w:tcPr/>
          <w:p>
            <w:pPr>
              <w:pStyle w:val="Compact"/>
              <w:jc w:val="left"/>
            </w:pPr>
            <w:r>
              <w:t xml:space="preserve">5%</w:t>
            </w:r>
            <w:r>
              <w:t xml:space="preserve"> </w:t>
            </w:r>
            <w:fldSimple w:instr="NOTEREF _Ref_Footnote_185 \h \f">
              <w:r>
                <w:rPr>
                  <w:vertAlign w:val="superscript"/>
                </w:rPr>
                <w:t>185</w:t>
              </w:r>
            </w:fldSimple>
          </w:p>
        </w:tc>
      </w:tr>
      <w:tr>
        <w:tc>
          <w:tcPr/>
          <w:p>
            <w:pPr>
              <w:pStyle w:val="Compact"/>
              <w:jc w:val="left"/>
            </w:pPr>
            <w:r>
              <w:t xml:space="preserve">99.9% availability</w:t>
            </w:r>
          </w:p>
        </w:tc>
        <w:tc>
          <w:tcPr/>
          <w:p>
            <w:pPr>
              <w:pStyle w:val="Compact"/>
              <w:jc w:val="left"/>
            </w:pPr>
            <w:r>
              <w:t xml:space="preserve">1×</w:t>
            </w:r>
          </w:p>
        </w:tc>
        <w:tc>
          <w:tcPr/>
          <w:p>
            <w:pPr>
              <w:pStyle w:val="Compact"/>
              <w:jc w:val="left"/>
            </w:pPr>
            <w:r>
              <w:t xml:space="preserve">3 days</w:t>
            </w:r>
          </w:p>
        </w:tc>
        <w:tc>
          <w:tcPr/>
          <w:p>
            <w:pPr>
              <w:pStyle w:val="Compact"/>
              <w:jc w:val="left"/>
            </w:pPr>
            <w:r>
              <w:t xml:space="preserve">6 hours</w:t>
            </w:r>
          </w:p>
        </w:tc>
        <w:tc>
          <w:tcPr/>
          <w:p>
            <w:pPr>
              <w:pStyle w:val="Compact"/>
              <w:jc w:val="left"/>
            </w:pPr>
            <w:r>
              <w:t xml:space="preserve">Ticket</w:t>
            </w:r>
          </w:p>
        </w:tc>
        <w:tc>
          <w:tcPr/>
          <w:p>
            <w:pPr>
              <w:pStyle w:val="Compact"/>
              <w:jc w:val="left"/>
            </w:pPr>
            <w:r>
              <w:t xml:space="preserve">10%</w:t>
            </w:r>
            <w:r>
              <w:t xml:space="preserve"> </w:t>
            </w:r>
            <w:fldSimple w:instr="NOTEREF _Ref_Footnote_185 \h \f">
              <w:r>
                <w:rPr>
                  <w:vertAlign w:val="superscript"/>
                </w:rPr>
                <w:t>185</w:t>
              </w:r>
            </w:fldSimple>
          </w:p>
        </w:tc>
      </w:tr>
      <w:tr>
        <w:tc>
          <w:tcPr/>
          <w:p>
            <w:pPr>
              <w:pStyle w:val="Compact"/>
              <w:jc w:val="left"/>
            </w:pPr>
            <w:r>
              <w:t xml:space="preserve">99.5% LLM service</w:t>
            </w:r>
          </w:p>
        </w:tc>
        <w:tc>
          <w:tcPr/>
          <w:p>
            <w:pPr>
              <w:pStyle w:val="Compact"/>
              <w:jc w:val="left"/>
            </w:pPr>
            <w:r>
              <w:t xml:space="preserve">14.4×</w:t>
            </w:r>
          </w:p>
        </w:tc>
        <w:tc>
          <w:tcPr/>
          <w:p>
            <w:pPr>
              <w:pStyle w:val="Compact"/>
              <w:jc w:val="left"/>
            </w:pPr>
            <w:r>
              <w:t xml:space="preserve">1 hour</w:t>
            </w:r>
          </w:p>
        </w:tc>
        <w:tc>
          <w:tcPr/>
          <w:p>
            <w:pPr>
              <w:pStyle w:val="Compact"/>
              <w:jc w:val="left"/>
            </w:pPr>
            <w:r>
              <w:t xml:space="preserve">5 minutes</w:t>
            </w:r>
          </w:p>
        </w:tc>
        <w:tc>
          <w:tcPr/>
          <w:p>
            <w:pPr>
              <w:pStyle w:val="Compact"/>
              <w:jc w:val="left"/>
            </w:pPr>
            <w:r>
              <w:t xml:space="preserve">Page (critical)</w:t>
            </w:r>
          </w:p>
        </w:tc>
        <w:tc>
          <w:tcPr/>
          <w:p>
            <w:pPr>
              <w:pStyle w:val="Compact"/>
              <w:jc w:val="left"/>
            </w:pPr>
            <w:r>
              <w:t xml:space="preserve">2%</w:t>
            </w:r>
          </w:p>
        </w:tc>
      </w:tr>
      <w:tr>
        <w:tc>
          <w:tcPr/>
          <w:p>
            <w:pPr>
              <w:pStyle w:val="Compact"/>
              <w:jc w:val="left"/>
            </w:pPr>
            <w:r>
              <w:t xml:space="preserve">INP ≤ 200 ms</w:t>
            </w:r>
          </w:p>
        </w:tc>
        <w:tc>
          <w:tcPr/>
          <w:p>
            <w:pPr>
              <w:pStyle w:val="Compact"/>
              <w:jc w:val="left"/>
            </w:pPr>
            <w:r>
              <w:t xml:space="preserve">6×</w:t>
            </w:r>
          </w:p>
        </w:tc>
        <w:tc>
          <w:tcPr/>
          <w:p>
            <w:pPr>
              <w:pStyle w:val="Compact"/>
              <w:jc w:val="left"/>
            </w:pPr>
            <w:r>
              <w:t xml:space="preserve">6 hours</w:t>
            </w:r>
          </w:p>
        </w:tc>
        <w:tc>
          <w:tcPr/>
          <w:p>
            <w:pPr>
              <w:pStyle w:val="Compact"/>
              <w:jc w:val="left"/>
            </w:pPr>
            <w:r>
              <w:t xml:space="preserve">30 minutes</w:t>
            </w:r>
          </w:p>
        </w:tc>
        <w:tc>
          <w:tcPr/>
          <w:p>
            <w:pPr>
              <w:pStyle w:val="Compact"/>
              <w:jc w:val="left"/>
            </w:pPr>
            <w:r>
              <w:t xml:space="preserve">Page (warning)</w:t>
            </w:r>
          </w:p>
        </w:tc>
        <w:tc>
          <w:tcPr/>
          <w:p>
            <w:pPr>
              <w:pStyle w:val="Compact"/>
              <w:jc w:val="left"/>
            </w:pPr>
            <w:r>
              <w:t xml:space="preserve">5%</w:t>
            </w:r>
            <w:r>
              <w:t xml:space="preserve"> </w:t>
            </w:r>
            <w:fldSimple w:instr="NOTEREF _Ref_Footnote_180 \h \f">
              <w:r>
                <w:rPr>
                  <w:vertAlign w:val="superscript"/>
                </w:rPr>
                <w:t>180</w:t>
              </w:r>
            </w:fldSimple>
          </w:p>
        </w:tc>
      </w:tr>
    </w:tbl>
    <w:p>
      <w:pPr>
        <w:pStyle w:val="BodyText"/>
      </w:pPr>
      <w:r>
        <w:t xml:space="preserve">The alerting thresholds create a tiered response: critical pages demand immediate attention, warning pages signal developing issues, and tickets schedule investigation within normal workflows. When budget consumption exceeds 50% in a rolling seven-day window, non-critical releases are frozen; at 100%, a mandatory postmortem is triggered</w:t>
      </w:r>
      <w:r>
        <w:t xml:space="preserve"> </w:t>
      </w:r>
      <w:fldSimple w:instr="NOTEREF _Ref_Footnote_183 \h \f">
        <w:r>
          <w:rPr>
            <w:vertAlign w:val="superscript"/>
          </w:rPr>
          <w:t>183</w:t>
        </w:r>
      </w:fldSimple>
      <w:r>
        <w:t xml:space="preserve">.</w:t>
      </w:r>
    </w:p>
    <w:p>
      <w:pPr>
        <w:pStyle w:val="CaptionedFigure"/>
      </w:pPr>
      <w:r>
        <w:drawing>
          <wp:inline>
            <wp:extent cx="5334000" cy="3166142"/>
            <wp:effectExtent b="0" l="0" r="0" t="0"/>
            <wp:docPr descr="Multi-Window Multi-Burn-Rate SLO Alerting Thresholds" title="" id="92" name="Picture"/>
            <a:graphic>
              <a:graphicData uri="http://schemas.openxmlformats.org/drawingml/2006/picture">
                <pic:pic>
                  <pic:nvPicPr>
                    <pic:cNvPr descr="sec09_burn_rate_alerting.png" id="93" name="Picture"/>
                    <pic:cNvPicPr>
                      <a:picLocks noChangeArrowheads="1" noChangeAspect="1"/>
                    </pic:cNvPicPr>
                  </pic:nvPicPr>
                  <pic:blipFill>
                    <a:blip r:embed="rId91"/>
                    <a:stretch>
                      <a:fillRect/>
                    </a:stretch>
                  </pic:blipFill>
                  <pic:spPr bwMode="auto">
                    <a:xfrm>
                      <a:off x="0" y="0"/>
                      <a:ext cx="5334000" cy="3166142"/>
                    </a:xfrm>
                    <a:prstGeom prst="rect">
                      <a:avLst/>
                    </a:prstGeom>
                    <a:noFill/>
                    <a:ln w="9525">
                      <a:noFill/>
                      <a:headEnd/>
                      <a:tailEnd/>
                    </a:ln>
                  </pic:spPr>
                </pic:pic>
              </a:graphicData>
            </a:graphic>
          </wp:inline>
        </w:drawing>
      </w:r>
    </w:p>
    <w:p>
      <w:pPr>
        <w:pStyle w:val="ImageCaption"/>
      </w:pPr>
      <w:r>
        <w:t xml:space="preserve">Multi-Window Multi-Burn-Rate SLO Alerting Thresholds</w:t>
      </w:r>
    </w:p>
    <w:p>
      <w:pPr>
        <w:pStyle w:val="BodyText"/>
      </w:pPr>
      <w:r>
        <w:t xml:space="preserve">Incident response follows the Google SRE model: an incident commander assembles the response team within minutes using PagerDuty for on-call scheduling, Slack for war-room communication, and conference bridges for coordination</w:t>
      </w:r>
      <w:r>
        <w:t xml:space="preserve"> </w:t>
      </w:r>
      <w:r>
        <w:rPr>
          <w:vertAlign w:val="superscript"/>
        </w:rPr>
        <w:footnoteReference w:id="187"/>
      </w:r>
      <w:r>
        <w:t xml:space="preserve">. Blameless postmortems are scheduled within five business days, focusing on how mistakes were made rather than who made them</w:t>
      </w:r>
      <w:r>
        <w:t xml:space="preserve"> </w:t>
      </w:r>
      <w:r>
        <w:rPr>
          <w:vertAlign w:val="superscript"/>
        </w:rPr>
        <w:footnoteReference w:id="188"/>
      </w:r>
      <w:r>
        <w:t xml:space="preserve"> </w:t>
      </w:r>
      <w:r>
        <w:rPr>
          <w:vertAlign w:val="superscript"/>
        </w:rPr>
        <w:footnoteReference w:id="189"/>
      </w:r>
      <w:r>
        <w:t xml:space="preserve">. Automated timeline capture eliminates 60–90 minutes of archaeological work per incident, with all action items tracked as JIRA tickets with owners and due dates</w:t>
      </w:r>
      <w:r>
        <w:t xml:space="preserve"> </w:t>
      </w:r>
      <w:fldSimple w:instr="NOTEREF _Ref_Footnote_188 \h \f">
        <w:r>
          <w:rPr>
            <w:vertAlign w:val="superscript"/>
          </w:rPr>
          <w:t>188</w:t>
        </w:r>
      </w:fldSimple>
      <w:r>
        <w:t xml:space="preserve">. On-call engineers rotate every four hours during extended incidents to prevent fatigue and bring fresh perspectives</w:t>
      </w:r>
      <w:r>
        <w:t xml:space="preserve"> </w:t>
      </w:r>
      <w:fldSimple w:instr="NOTEREF _Ref_Footnote_187 \h \f">
        <w:r>
          <w:rPr>
            <w:vertAlign w:val="superscript"/>
          </w:rPr>
          <w:t>187</w:t>
        </w:r>
      </w:fldSimple>
      <w:r>
        <w:t xml:space="preserve">.</w:t>
      </w:r>
    </w:p>
    <w:bookmarkEnd w:id="94"/>
    <w:bookmarkStart w:id="95" w:name="llm-specific-observability"/>
    <w:p>
      <w:pPr>
        <w:pStyle w:val="Heading3"/>
      </w:pPr>
      <w:r>
        <w:t xml:space="preserve">9.4 LLM-Specific Observability</w:t>
      </w:r>
    </w:p>
    <w:p>
      <w:pPr>
        <w:pStyle w:val="FirstParagraph"/>
      </w:pPr>
      <w:r>
        <w:t xml:space="preserve">Traditional observability tools were not designed for Large Language Model workloads. Token-based pricing, non-deterministic response latency, and quality variability require monitoring beyond standard HTTP metrics. LangSmith provides automatic tracing for LangChain applications with token tracking, cost calculation, latency monitoring at P50 and P99, and multi-turn conversation threading</w:t>
      </w:r>
      <w:r>
        <w:t xml:space="preserve"> </w:t>
      </w:r>
      <w:fldSimple w:instr="NOTEREF _Ref_Footnote_182 \h \f">
        <w:r>
          <w:rPr>
            <w:vertAlign w:val="superscript"/>
          </w:rPr>
          <w:t>182</w:t>
        </w:r>
      </w:fldSimple>
      <w:r>
        <w:t xml:space="preserve">. Critically, LangSmith separates reasoning token costs from regular tokens — essential as reasoning tokens are often priced differently</w:t>
      </w:r>
      <w:r>
        <w:t xml:space="preserve"> </w:t>
      </w:r>
      <w:r>
        <w:rPr>
          <w:vertAlign w:val="superscript"/>
        </w:rPr>
        <w:footnoteReference w:id="190"/>
      </w:r>
      <w:r>
        <w:t xml:space="preserve">.</w:t>
      </w:r>
    </w:p>
    <w:p>
      <w:pPr>
        <w:pStyle w:val="BodyText"/>
      </w:pPr>
      <w:r>
        <w:t xml:space="preserve">OpenTelemetry’s native LLM instrumentation captures request metadata (temperature, top_p, model version), response metadata (tokens, cost), and custom metrics following a consistent naming convention:</w:t>
      </w:r>
      <w:r>
        <w:t xml:space="preserve"> </w:t>
      </w:r>
      <w:r>
        <w:rPr>
          <w:rStyle w:val="VerbatimChar"/>
        </w:rPr>
        <w:t xml:space="preserve">llm_requests_total</w:t>
      </w:r>
      <w:r>
        <w:t xml:space="preserve">,</w:t>
      </w:r>
      <w:r>
        <w:t xml:space="preserve"> </w:t>
      </w:r>
      <w:r>
        <w:rPr>
          <w:rStyle w:val="VerbatimChar"/>
        </w:rPr>
        <w:t xml:space="preserve">llm_request_duration_ms</w:t>
      </w:r>
      <w:r>
        <w:t xml:space="preserve">,</w:t>
      </w:r>
      <w:r>
        <w:t xml:space="preserve"> </w:t>
      </w:r>
      <w:r>
        <w:rPr>
          <w:rStyle w:val="VerbatimChar"/>
        </w:rPr>
        <w:t xml:space="preserve">llm_tokens_input_total</w:t>
      </w:r>
      <w:r>
        <w:t xml:space="preserve">,</w:t>
      </w:r>
      <w:r>
        <w:t xml:space="preserve"> </w:t>
      </w:r>
      <w:r>
        <w:rPr>
          <w:rStyle w:val="VerbatimChar"/>
        </w:rPr>
        <w:t xml:space="preserve">llm_tokens_output_total</w:t>
      </w:r>
      <w:r>
        <w:t xml:space="preserve">, and</w:t>
      </w:r>
      <w:r>
        <w:t xml:space="preserve"> </w:t>
      </w:r>
      <w:r>
        <w:rPr>
          <w:rStyle w:val="VerbatimChar"/>
        </w:rPr>
        <w:t xml:space="preserve">llm_cost_usd_total</w:t>
      </w:r>
      <w:r>
        <w:t xml:space="preserve">, all tagged with model labels for A/B comparison</w:t>
      </w:r>
      <w:r>
        <w:t xml:space="preserve"> </w:t>
      </w:r>
      <w:fldSimple w:instr="NOTEREF _Ref_Footnote_178 \h \f">
        <w:r>
          <w:rPr>
            <w:vertAlign w:val="superscript"/>
          </w:rPr>
          <w:t>178</w:t>
        </w:r>
      </w:fldSimple>
      <w:r>
        <w:t xml:space="preserve"> </w:t>
      </w:r>
      <w:r>
        <w:rPr>
          <w:vertAlign w:val="superscript"/>
        </w:rPr>
        <w:footnoteReference w:id="191"/>
      </w:r>
      <w:r>
        <w:t xml:space="preserve">. Business-level signals extend beyond infrastructure to encompass hallucination rate, content moderation flags, and user satisfaction scores</w:t>
      </w:r>
      <w:r>
        <w:t xml:space="preserve"> </w:t>
      </w:r>
      <w:r>
        <w:rPr>
          <w:vertAlign w:val="superscript"/>
        </w:rPr>
        <w:footnoteReference w:id="192"/>
      </w:r>
      <w:r>
        <w:t xml:space="preserve">. For CRP Comply, this means tracking tokens per tenant for usage-based billing, monitoring P95 latency per model, and comparing completion quality across model versions. Self-hosted LangSmith or the open-source Langfuse ensures data residency for EU tenants</w:t>
      </w:r>
      <w:r>
        <w:t xml:space="preserve"> </w:t>
      </w:r>
      <w:r>
        <w:rPr>
          <w:vertAlign w:val="superscript"/>
        </w:rPr>
        <w:footnoteReference w:id="193"/>
      </w:r>
      <w:r>
        <w:t xml:space="preserve">.</w:t>
      </w:r>
    </w:p>
    <w:p>
      <w:pPr>
        <w:pStyle w:val="BodyText"/>
      </w:pPr>
      <w:r>
        <w:t xml:space="preserve">The integration of LLM-specific signals with the broader observability stack creates a unified operational picture. When a tenant reports slow document generation, an engineer can correlate OpenTelemetry spans showing increased time-to-first-token with Prometheus metrics revealing elevated queue depth and ELK logs indicating a model provider rate-limiting event — all linked by a single correlation ID. This diagnostic precision transforms incident resolution from reactive guesswork into systematic investigation, directly supporting the always-on experience that compliance professionals require.</w:t>
      </w:r>
    </w:p>
    <w:p>
      <w:r>
        <w:pict>
          <v:rect style="width:0;height:1.5pt" o:hralign="center" o:hrstd="t" o:hr="t"/>
        </w:pict>
      </w:r>
    </w:p>
    <w:bookmarkEnd w:id="95"/>
    <w:bookmarkEnd w:id="96"/>
    <w:bookmarkStart w:id="103" w:name="onboarding-time-to-value-optimization"/>
    <w:p>
      <w:pPr>
        <w:pStyle w:val="Heading2"/>
      </w:pPr>
      <w:r>
        <w:t xml:space="preserve">10. Onboarding &amp; Time-to-Value Optimization</w:t>
      </w:r>
    </w:p>
    <w:bookmarkStart w:id="100" w:name="the-72-hour-activation-window"/>
    <w:p>
      <w:pPr>
        <w:pStyle w:val="Heading3"/>
      </w:pPr>
      <w:r>
        <w:t xml:space="preserve">10.1 The 72-Hour Activation Window</w:t>
      </w:r>
    </w:p>
    <w:p>
      <w:pPr>
        <w:pStyle w:val="FirstParagraph"/>
      </w:pPr>
      <w:r>
        <w:t xml:space="preserve">Onboarding is the highest-leverage optimisation point in the SaaS lifecycle. Research demonstrates that</w:t>
      </w:r>
      <w:r>
        <w:t xml:space="preserve"> </w:t>
      </w:r>
      <w:r>
        <w:rPr>
          <w:bCs/>
          <w:b/>
        </w:rPr>
        <w:t xml:space="preserve">90% of users churn if they do not experience product value within the first week</w:t>
      </w:r>
      <w:r>
        <w:t xml:space="preserve"> </w:t>
      </w:r>
      <w:fldSimple w:instr="NOTEREF _Ref_Footnote_1 \h \f">
        <w:r>
          <w:rPr>
            <w:vertAlign w:val="superscript"/>
          </w:rPr>
          <w:t>1</w:t>
        </w:r>
      </w:fldSimple>
      <w:r>
        <w:t xml:space="preserve">, yet the</w:t>
      </w:r>
      <w:r>
        <w:t xml:space="preserve"> </w:t>
      </w:r>
      <w:r>
        <w:rPr>
          <w:bCs/>
          <w:b/>
        </w:rPr>
        <w:t xml:space="preserve">average SaaS activation rate sits at only 37.5%</w:t>
      </w:r>
      <w:r>
        <w:t xml:space="preserve"> </w:t>
      </w:r>
      <w:r>
        <w:t xml:space="preserve">— meaning roughly two-thirds of signups never reach a meaningful product interaction</w:t>
      </w:r>
      <w:r>
        <w:t xml:space="preserve"> </w:t>
      </w:r>
      <w:fldSimple w:instr="NOTEREF _Ref_Footnote_3 \h \f">
        <w:r>
          <w:rPr>
            <w:vertAlign w:val="superscript"/>
          </w:rPr>
          <w:t>3</w:t>
        </w:r>
      </w:fldSimple>
      <w:r>
        <w:t xml:space="preserve"> </w:t>
      </w:r>
      <w:r>
        <w:rPr>
          <w:vertAlign w:val="superscript"/>
        </w:rPr>
        <w:footnoteReference w:id="194"/>
      </w:r>
      <w:r>
        <w:t xml:space="preserve">. For CRP Comply, the onboarding design directly determines whether a user runs their first risk classification or exits before understanding the product’s core utility.</w:t>
      </w:r>
    </w:p>
    <w:p>
      <w:pPr>
        <w:pStyle w:val="BodyText"/>
      </w:pPr>
      <w:r>
        <w:t xml:space="preserve">Time-to-Value (TTV) measures elapsed time between signup and the user’s first meaningful product benefit — the</w:t>
      </w:r>
      <w:r>
        <w:t xml:space="preserve"> </w:t>
      </w:r>
      <w:r>
        <w:t xml:space="preserve">“</w:t>
      </w:r>
      <w:r>
        <w:t xml:space="preserve">aha moment</w:t>
      </w:r>
      <w:r>
        <w:t xml:space="preserve">”</w:t>
      </w:r>
      <w:r>
        <w:t xml:space="preserve"> </w:t>
      </w:r>
      <w:r>
        <w:t xml:space="preserve">when value becomes tangible</w:t>
      </w:r>
      <w:r>
        <w:t xml:space="preserve"> </w:t>
      </w:r>
      <w:r>
        <w:rPr>
          <w:vertAlign w:val="superscript"/>
        </w:rPr>
        <w:footnoteReference w:id="195"/>
      </w:r>
      <w:r>
        <w:t xml:space="preserve">. Industry benchmarks vary substantially by product complexity, as shown in Table 10.1.</w:t>
      </w:r>
    </w:p>
    <w:p>
      <w:pPr>
        <w:pStyle w:val="BodyText"/>
      </w:pPr>
      <w:r>
        <w:rPr>
          <w:bCs/>
          <w:b/>
        </w:rPr>
        <w:t xml:space="preserve">Table 10.1: Time-to-Value Benchmarks by Product Type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 Type</w:t>
            </w:r>
          </w:p>
        </w:tc>
        <w:tc>
          <w:tcPr/>
          <w:p>
            <w:pPr>
              <w:pStyle w:val="Compact"/>
              <w:jc w:val="left"/>
            </w:pPr>
            <w:r>
              <w:t xml:space="preserve">Typical TTV</w:t>
            </w:r>
          </w:p>
        </w:tc>
        <w:tc>
          <w:tcPr/>
          <w:p>
            <w:pPr>
              <w:pStyle w:val="Compact"/>
              <w:jc w:val="left"/>
            </w:pPr>
            <w:r>
              <w:t xml:space="preserve">Complexity Factors</w:t>
            </w:r>
          </w:p>
        </w:tc>
        <w:tc>
          <w:tcPr/>
          <w:p>
            <w:pPr>
              <w:pStyle w:val="Compact"/>
              <w:jc w:val="left"/>
            </w:pPr>
            <w:r>
              <w:t xml:space="preserve">Competitive Landscape</w:t>
            </w:r>
          </w:p>
        </w:tc>
      </w:tr>
      <w:tr>
        <w:tc>
          <w:tcPr/>
          <w:p>
            <w:pPr>
              <w:pStyle w:val="Compact"/>
              <w:jc w:val="left"/>
            </w:pPr>
            <w:r>
              <w:t xml:space="preserve">CRM &amp; Sales Tools</w:t>
            </w:r>
          </w:p>
        </w:tc>
        <w:tc>
          <w:tcPr/>
          <w:p>
            <w:pPr>
              <w:pStyle w:val="Compact"/>
              <w:jc w:val="left"/>
            </w:pPr>
            <w:r>
              <w:t xml:space="preserve">Hours to 1-2 days</w:t>
            </w:r>
          </w:p>
        </w:tc>
        <w:tc>
          <w:tcPr/>
          <w:p>
            <w:pPr>
              <w:pStyle w:val="Compact"/>
              <w:jc w:val="left"/>
            </w:pPr>
            <w:r>
              <w:t xml:space="preserve">Simple onboarding, intuitive interfaces</w:t>
            </w:r>
          </w:p>
        </w:tc>
        <w:tc>
          <w:tcPr/>
          <w:p>
            <w:pPr>
              <w:pStyle w:val="Compact"/>
              <w:jc w:val="left"/>
            </w:pPr>
            <w:r>
              <w:t xml:space="preserve">High maturity; most optimise for &lt;1 day</w:t>
            </w:r>
          </w:p>
        </w:tc>
      </w:tr>
      <w:tr>
        <w:tc>
          <w:tcPr/>
          <w:p>
            <w:pPr>
              <w:pStyle w:val="Compact"/>
              <w:jc w:val="left"/>
            </w:pPr>
            <w:r>
              <w:t xml:space="preserve">Project Management</w:t>
            </w:r>
          </w:p>
        </w:tc>
        <w:tc>
          <w:tcPr/>
          <w:p>
            <w:pPr>
              <w:pStyle w:val="Compact"/>
              <w:jc w:val="left"/>
            </w:pPr>
            <w:r>
              <w:t xml:space="preserve">Days to 1 week</w:t>
            </w:r>
          </w:p>
        </w:tc>
        <w:tc>
          <w:tcPr/>
          <w:p>
            <w:pPr>
              <w:pStyle w:val="Compact"/>
              <w:jc w:val="left"/>
            </w:pPr>
            <w:r>
              <w:t xml:space="preserve">Team setup, initial project creation</w:t>
            </w:r>
          </w:p>
        </w:tc>
        <w:tc>
          <w:tcPr/>
          <w:p>
            <w:pPr>
              <w:pStyle w:val="Compact"/>
              <w:jc w:val="left"/>
            </w:pPr>
            <w:r>
              <w:t xml:space="preserve">Moderate; template-driven acceleration</w:t>
            </w:r>
          </w:p>
        </w:tc>
      </w:tr>
      <w:tr>
        <w:tc>
          <w:tcPr/>
          <w:p>
            <w:pPr>
              <w:pStyle w:val="Compact"/>
              <w:jc w:val="left"/>
            </w:pPr>
            <w:r>
              <w:t xml:space="preserve">Healthcare / Compliance</w:t>
            </w:r>
          </w:p>
        </w:tc>
        <w:tc>
          <w:tcPr/>
          <w:p>
            <w:pPr>
              <w:pStyle w:val="Compact"/>
              <w:jc w:val="left"/>
            </w:pPr>
            <w:r>
              <w:t xml:space="preserve">Weeks to months</w:t>
            </w:r>
            <w:r>
              <w:t xml:space="preserve"> </w:t>
            </w:r>
            <w:fldSimple w:instr="NOTEREF _Ref_Footnote_23 \h \f">
              <w:r>
                <w:rPr>
                  <w:vertAlign w:val="superscript"/>
                </w:rPr>
                <w:t>23</w:t>
              </w:r>
            </w:fldSimple>
          </w:p>
        </w:tc>
        <w:tc>
          <w:tcPr/>
          <w:p>
            <w:pPr>
              <w:pStyle w:val="Compact"/>
              <w:jc w:val="left"/>
            </w:pPr>
            <w:r>
              <w:t xml:space="preserve">Compliance setup, data configuration</w:t>
            </w:r>
          </w:p>
        </w:tc>
        <w:tc>
          <w:tcPr/>
          <w:p>
            <w:pPr>
              <w:pStyle w:val="Compact"/>
              <w:jc w:val="left"/>
            </w:pPr>
            <w:r>
              <w:rPr>
                <w:bCs/>
                <w:b/>
              </w:rPr>
              <w:t xml:space="preserve">No competitor achieves &lt;4 weeks TTV</w:t>
            </w:r>
          </w:p>
        </w:tc>
      </w:tr>
      <w:tr>
        <w:tc>
          <w:tcPr/>
          <w:p>
            <w:pPr>
              <w:pStyle w:val="Compact"/>
              <w:jc w:val="left"/>
            </w:pPr>
            <w:r>
              <w:t xml:space="preserve">Enterprise ERP</w:t>
            </w:r>
          </w:p>
        </w:tc>
        <w:tc>
          <w:tcPr/>
          <w:p>
            <w:pPr>
              <w:pStyle w:val="Compact"/>
              <w:jc w:val="left"/>
            </w:pPr>
            <w:r>
              <w:t xml:space="preserve">Weeks to months</w:t>
            </w:r>
          </w:p>
        </w:tc>
        <w:tc>
          <w:tcPr/>
          <w:p>
            <w:pPr>
              <w:pStyle w:val="Compact"/>
              <w:jc w:val="left"/>
            </w:pPr>
            <w:r>
              <w:t xml:space="preserve">Complex setup, multiple integrations</w:t>
            </w:r>
          </w:p>
        </w:tc>
        <w:tc>
          <w:tcPr/>
          <w:p>
            <w:pPr>
              <w:pStyle w:val="Compact"/>
              <w:jc w:val="left"/>
            </w:pPr>
            <w:r>
              <w:t xml:space="preserve">Long implementation cycles accepted</w:t>
            </w:r>
          </w:p>
        </w:tc>
      </w:tr>
      <w:tr>
        <w:tc>
          <w:tcPr/>
          <w:p>
            <w:pPr>
              <w:pStyle w:val="Compact"/>
              <w:jc w:val="left"/>
            </w:pPr>
            <w:r>
              <w:t xml:space="preserve">CRP Comply (Target)</w:t>
            </w:r>
          </w:p>
        </w:tc>
        <w:tc>
          <w:tcPr/>
          <w:p>
            <w:pPr>
              <w:pStyle w:val="Compact"/>
              <w:jc w:val="left"/>
            </w:pPr>
            <w:r>
              <w:rPr>
                <w:bCs/>
                <w:b/>
              </w:rPr>
              <w:t xml:space="preserve">~60 seconds</w:t>
            </w:r>
          </w:p>
        </w:tc>
        <w:tc>
          <w:tcPr/>
          <w:p>
            <w:pPr>
              <w:pStyle w:val="Compact"/>
              <w:jc w:val="left"/>
            </w:pPr>
            <w:r>
              <w:t xml:space="preserve">Demo data pre-population, passkey auth</w:t>
            </w:r>
          </w:p>
        </w:tc>
        <w:tc>
          <w:tcPr/>
          <w:p>
            <w:pPr>
              <w:pStyle w:val="Compact"/>
              <w:jc w:val="left"/>
            </w:pPr>
            <w:r>
              <w:rPr>
                <w:bCs/>
                <w:b/>
              </w:rPr>
              <w:t xml:space="preserve">First-mover opportunity</w:t>
            </w:r>
          </w:p>
        </w:tc>
      </w:tr>
    </w:tbl>
    <w:p>
      <w:pPr>
        <w:pStyle w:val="BodyText"/>
      </w:pPr>
      <w:r>
        <w:t xml:space="preserve">The</w:t>
      </w:r>
      <w:r>
        <w:t xml:space="preserve"> </w:t>
      </w:r>
      <w:r>
        <w:rPr>
          <w:bCs/>
          <w:b/>
        </w:rPr>
        <w:t xml:space="preserve">average TTV across all SaaS categories is 1 day, 12 hours, 23 minutes</w:t>
      </w:r>
      <w:r>
        <w:t xml:space="preserve"> </w:t>
      </w:r>
      <w:fldSimple w:instr="NOTEREF _Ref_Footnote_1 \h \f">
        <w:r>
          <w:rPr>
            <w:vertAlign w:val="superscript"/>
          </w:rPr>
          <w:t>1</w:t>
        </w:r>
      </w:fldSimple>
      <w:r>
        <w:t xml:space="preserve"> </w:t>
      </w:r>
      <w:fldSimple w:instr="NOTEREF _Ref_Footnote_13 \h \f">
        <w:r>
          <w:rPr>
            <w:vertAlign w:val="superscript"/>
          </w:rPr>
          <w:t>13</w:t>
        </w:r>
      </w:fldSimple>
      <w:r>
        <w:t xml:space="preserve">. Top-quartile developer tools achieve TTV under 5 minutes; complex B2B SaaS should target under 7 days</w:t>
      </w:r>
      <w:r>
        <w:t xml:space="preserve"> </w:t>
      </w:r>
      <w:r>
        <w:rPr>
          <w:vertAlign w:val="superscript"/>
        </w:rPr>
        <w:footnoteReference w:id="196"/>
      </w:r>
      <w:r>
        <w:t xml:space="preserve">. Healthcare and compliance software traditionally occupies the worst position, requiring weeks of configuration before users can generate their first audit-ready artefact</w:t>
      </w:r>
      <w:r>
        <w:t xml:space="preserve"> </w:t>
      </w:r>
      <w:fldSimple w:instr="NOTEREF _Ref_Footnote_23 \h \f">
        <w:r>
          <w:rPr>
            <w:vertAlign w:val="superscript"/>
          </w:rPr>
          <w:t>23</w:t>
        </w:r>
      </w:fldSimple>
      <w:r>
        <w:t xml:space="preserve">. No existing compliance competitor achieves a TTV below four weeks without significant manual onboarding support — this gap represents a first-mover opportunity for CRP Comply.</w:t>
      </w:r>
    </w:p>
    <w:p>
      <w:pPr>
        <w:pStyle w:val="CaptionedFigure"/>
      </w:pPr>
      <w:r>
        <w:drawing>
          <wp:inline>
            <wp:extent cx="5334000" cy="2898149"/>
            <wp:effectExtent b="0" l="0" r="0" t="0"/>
            <wp:docPr descr="Figure 10.1: Time-to-Value Benchmarks by Product Category" title="" id="98" name="Picture"/>
            <a:graphic>
              <a:graphicData uri="http://schemas.openxmlformats.org/drawingml/2006/picture">
                <pic:pic>
                  <pic:nvPicPr>
                    <pic:cNvPr descr="fig_10_1_ttv_benchmarks.png" id="99" name="Picture"/>
                    <pic:cNvPicPr>
                      <a:picLocks noChangeArrowheads="1" noChangeAspect="1"/>
                    </pic:cNvPicPr>
                  </pic:nvPicPr>
                  <pic:blipFill>
                    <a:blip r:embed="rId97"/>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Figure 10.1: Time-to-Value Benchmarks by Product Category</w:t>
      </w:r>
    </w:p>
    <w:p>
      <w:pPr>
        <w:pStyle w:val="BodyText"/>
      </w:pPr>
      <w:r>
        <w:t xml:space="preserve">The relationship between TTV and retention is quantitatively well established. Reducing TTV by 20% correlates with a</w:t>
      </w:r>
      <w:r>
        <w:t xml:space="preserve"> </w:t>
      </w:r>
      <w:r>
        <w:rPr>
          <w:bCs/>
          <w:b/>
        </w:rPr>
        <w:t xml:space="preserve">15% boost in 90-day retention</w:t>
      </w:r>
      <w:r>
        <w:t xml:space="preserve"> </w:t>
      </w:r>
      <w:fldSimple w:instr="NOTEREF _Ref_Footnote_13 \h \f">
        <w:r>
          <w:rPr>
            <w:vertAlign w:val="superscript"/>
          </w:rPr>
          <w:t>13</w:t>
        </w:r>
      </w:fldSimple>
      <w:r>
        <w:t xml:space="preserve">. One SaaS company that reduced TTV from 8 minutes to 3 minutes saw</w:t>
      </w:r>
      <w:r>
        <w:t xml:space="preserve"> </w:t>
      </w:r>
      <w:r>
        <w:rPr>
          <w:bCs/>
          <w:b/>
        </w:rPr>
        <w:t xml:space="preserve">Day-1 retention rise from 45% to 61%</w:t>
      </w:r>
      <w:r>
        <w:t xml:space="preserve">, a 35% relative improvement</w:t>
      </w:r>
      <w:r>
        <w:t xml:space="preserve"> </w:t>
      </w:r>
      <w:fldSimple w:instr="NOTEREF _Ref_Footnote_195 \h \f">
        <w:r>
          <w:rPr>
            <w:vertAlign w:val="superscript"/>
          </w:rPr>
          <w:t>195</w:t>
        </w:r>
      </w:fldSimple>
      <w:r>
        <w:t xml:space="preserve">. Users who fail to hit a value milestone within two weeks exhibit a</w:t>
      </w:r>
      <w:r>
        <w:t xml:space="preserve"> </w:t>
      </w:r>
      <w:r>
        <w:rPr>
          <w:bCs/>
          <w:b/>
        </w:rPr>
        <w:t xml:space="preserve">98%+ churn rate</w:t>
      </w:r>
      <w:r>
        <w:t xml:space="preserve"> </w:t>
      </w:r>
      <w:fldSimple w:instr="NOTEREF _Ref_Footnote_194 \h \f">
        <w:r>
          <w:rPr>
            <w:vertAlign w:val="superscript"/>
          </w:rPr>
          <w:t>194</w:t>
        </w:r>
      </w:fldSimple>
      <w:r>
        <w:t xml:space="preserve">, while</w:t>
      </w:r>
      <w:r>
        <w:t xml:space="preserve"> </w:t>
      </w:r>
      <w:r>
        <w:rPr>
          <w:bCs/>
          <w:b/>
        </w:rPr>
        <w:t xml:space="preserve">85% of customers reaching value within 10 days continue long-term</w:t>
      </w:r>
      <w:r>
        <w:t xml:space="preserve"> </w:t>
      </w:r>
      <w:fldSimple w:instr="NOTEREF _Ref_Footnote_195 \h \f">
        <w:r>
          <w:rPr>
            <w:vertAlign w:val="superscript"/>
          </w:rPr>
          <w:t>195</w:t>
        </w:r>
      </w:fldSimple>
      <w:r>
        <w:t xml:space="preserve">. The 72-hour activation window functions as a hard threshold: users who do not engage within this period face a 90% churn probability</w:t>
      </w:r>
      <w:r>
        <w:t xml:space="preserve"> </w:t>
      </w:r>
      <w:fldSimple w:instr="NOTEREF _Ref_Footnote_1 \h \f">
        <w:r>
          <w:rPr>
            <w:vertAlign w:val="superscript"/>
          </w:rPr>
          <w:t>1</w:t>
        </w:r>
      </w:fldSimple>
      <w:r>
        <w:t xml:space="preserve">, and by 2026 users will evaluate 3-5 competing tools simultaneously across parallel browser tabs, making onboarding a competitive race measured in seconds</w:t>
      </w:r>
      <w:r>
        <w:t xml:space="preserve"> </w:t>
      </w:r>
      <w:fldSimple w:instr="NOTEREF _Ref_Footnote_1 \h \f">
        <w:r>
          <w:rPr>
            <w:vertAlign w:val="superscript"/>
          </w:rPr>
          <w:t>1</w:t>
        </w:r>
      </w:fldSimple>
      <w:r>
        <w:t xml:space="preserve">.</w:t>
      </w:r>
    </w:p>
    <w:bookmarkEnd w:id="100"/>
    <w:bookmarkStart w:id="101" w:name="the-compliance-win-in-60-seconds-flow"/>
    <w:p>
      <w:pPr>
        <w:pStyle w:val="Heading3"/>
      </w:pPr>
      <w:r>
        <w:t xml:space="preserve">10.2 The</w:t>
      </w:r>
      <w:r>
        <w:t xml:space="preserve"> </w:t>
      </w:r>
      <w:r>
        <w:t xml:space="preserve">“</w:t>
      </w:r>
      <w:r>
        <w:t xml:space="preserve">Compliance Win in 60 Seconds</w:t>
      </w:r>
      <w:r>
        <w:t xml:space="preserve">”</w:t>
      </w:r>
      <w:r>
        <w:t xml:space="preserve"> </w:t>
      </w:r>
      <w:r>
        <w:t xml:space="preserve">Flow</w:t>
      </w:r>
    </w:p>
    <w:p>
      <w:pPr>
        <w:pStyle w:val="FirstParagraph"/>
      </w:pPr>
      <w:r>
        <w:t xml:space="preserve">CRP Comply’s activation architecture follows a single principle: every new user must achieve a tangible compliance outcome before they are asked to configure anything. The flow is a four-sequence sprint totalling approximately 60 seconds.</w:t>
      </w:r>
    </w:p>
    <w:p>
      <w:pPr>
        <w:pStyle w:val="BodyText"/>
      </w:pPr>
      <w:r>
        <w:rPr>
          <w:bCs/>
          <w:b/>
        </w:rPr>
        <w:t xml:space="preserve">Passkey signup (5 seconds)</w:t>
      </w:r>
      <w:r>
        <w:t xml:space="preserve">. Google’s data demonstrates that passkey logins are</w:t>
      </w:r>
      <w:r>
        <w:t xml:space="preserve"> </w:t>
      </w:r>
      <w:r>
        <w:rPr>
          <w:bCs/>
          <w:b/>
        </w:rPr>
        <w:t xml:space="preserve">2× faster and 4× more successful</w:t>
      </w:r>
      <w:r>
        <w:t xml:space="preserve"> </w:t>
      </w:r>
      <w:r>
        <w:t xml:space="preserve">than password-based authentication</w:t>
      </w:r>
      <w:r>
        <w:t xml:space="preserve"> </w:t>
      </w:r>
      <w:r>
        <w:rPr>
          <w:vertAlign w:val="superscript"/>
        </w:rPr>
        <w:footnoteReference w:id="197"/>
      </w:r>
      <w:r>
        <w:t xml:space="preserve"> </w:t>
      </w:r>
      <w:r>
        <w:rPr>
          <w:vertAlign w:val="superscript"/>
        </w:rPr>
        <w:footnoteReference w:id="198"/>
      </w:r>
      <w:r>
        <w:t xml:space="preserve">. GitHub’s passkey rollout achieved</w:t>
      </w:r>
      <w:r>
        <w:t xml:space="preserve"> </w:t>
      </w:r>
      <w:r>
        <w:rPr>
          <w:bCs/>
          <w:b/>
        </w:rPr>
        <w:t xml:space="preserve">95% user opt-in</w:t>
      </w:r>
      <w:r>
        <w:t xml:space="preserve"> </w:t>
      </w:r>
      <w:r>
        <w:t xml:space="preserve">because the experience was unambiguously simpler</w:t>
      </w:r>
      <w:r>
        <w:t xml:space="preserve"> </w:t>
      </w:r>
      <w:fldSimple w:instr="NOTEREF _Ref_Footnote_197 \h \f">
        <w:r>
          <w:rPr>
            <w:vertAlign w:val="superscript"/>
          </w:rPr>
          <w:t>197</w:t>
        </w:r>
      </w:fldSimple>
      <w:r>
        <w:t xml:space="preserve">. Eliminating password creation — with its complexity rules, confirmation fields, and reset loops — removes the most common drop-off point in SaaS onboarding. CRP Comply’s existing passkey-first architecture is not merely a security feature but a strategic onboarding accelerant.</w:t>
      </w:r>
    </w:p>
    <w:p>
      <w:pPr>
        <w:pStyle w:val="BodyText"/>
      </w:pPr>
      <w:r>
        <w:rPr>
          <w:bCs/>
          <w:b/>
        </w:rPr>
        <w:t xml:space="preserve">Three-question welcome microsurvey (15 seconds)</w:t>
      </w:r>
      <w:r>
        <w:t xml:space="preserve">. A short welcome survey of 2-3 questions segments users into the right flow while making them feel the product was built for their context</w:t>
      </w:r>
      <w:r>
        <w:t xml:space="preserve"> </w:t>
      </w:r>
      <w:r>
        <w:rPr>
          <w:vertAlign w:val="superscript"/>
        </w:rPr>
        <w:footnoteReference w:id="199"/>
      </w:r>
      <w:r>
        <w:t xml:space="preserve">. The microsurvey collects: role (Compliance Officer, Legal/Regulatory, Developer/Engineer, Business Leader), target framework (EU AI Act, ISO 42001, SOC 2, Other/Not sure), and immediate goal (Classify AI risk, Prepare for audit, Explore capabilities). Every additional question beyond three is a reason to abandon</w:t>
      </w:r>
      <w:r>
        <w:t xml:space="preserve"> </w:t>
      </w:r>
      <w:fldSimple w:instr="NOTEREF _Ref_Footnote_199 \h \f">
        <w:r>
          <w:rPr>
            <w:vertAlign w:val="superscript"/>
          </w:rPr>
          <w:t>199</w:t>
        </w:r>
      </w:fldSimple>
      <w:r>
        <w:t xml:space="preserve">.</w:t>
      </w:r>
    </w:p>
    <w:p>
      <w:pPr>
        <w:pStyle w:val="BodyText"/>
      </w:pPr>
      <w:r>
        <w:rPr>
          <w:bCs/>
          <w:b/>
        </w:rPr>
        <w:t xml:space="preserve">Demo risk classification (30 seconds)</w:t>
      </w:r>
      <w:r>
        <w:t xml:space="preserve">. The first screen after the microsurvey is not a dashboard — it is a pre-populated compliance programme with sample EU AI Act artefacts and sample risk classifications already visible. The user clicks</w:t>
      </w:r>
      <w:r>
        <w:t xml:space="preserve"> </w:t>
      </w:r>
      <w:r>
        <w:t xml:space="preserve">“</w:t>
      </w:r>
      <w:r>
        <w:t xml:space="preserve">Run demo classification</w:t>
      </w:r>
      <w:r>
        <w:t xml:space="preserve">”</w:t>
      </w:r>
      <w:r>
        <w:t xml:space="preserve"> </w:t>
      </w:r>
      <w:r>
        <w:t xml:space="preserve">and the system processes a sample AI system description, producing a risk-level result with regulatory explanation. This single action constitutes the core aha moment: the user sees, in under 60 seconds from signup, that the platform can classify their AI system’s compliance posture.</w:t>
      </w:r>
    </w:p>
    <w:p>
      <w:pPr>
        <w:pStyle w:val="BodyText"/>
      </w:pPr>
      <w:r>
        <w:rPr>
          <w:bCs/>
          <w:b/>
        </w:rPr>
        <w:t xml:space="preserve">Confetti celebration (10 seconds)</w:t>
      </w:r>
      <w:r>
        <w:t xml:space="preserve">. The classification result triggers a brief animated celebration with the message</w:t>
      </w:r>
      <w:r>
        <w:t xml:space="preserve"> </w:t>
      </w:r>
      <w:r>
        <w:t xml:space="preserve">“</w:t>
      </w:r>
      <w:r>
        <w:t xml:space="preserve">Your first compliance check is complete — you’re 20% audit-ready!</w:t>
      </w:r>
      <w:r>
        <w:t xml:space="preserve">”</w:t>
      </w:r>
      <w:r>
        <w:t xml:space="preserve"> </w:t>
      </w:r>
      <w:r>
        <w:t xml:space="preserve">This applies Kahneman’s Peak-End Rule: the memory of an experience is dominated by its most intense moment and its ending</w:t>
      </w:r>
      <w:r>
        <w:t xml:space="preserve"> </w:t>
      </w:r>
      <w:fldSimple w:instr="NOTEREF _Ref_Footnote_36 \h \f">
        <w:r>
          <w:rPr>
            <w:vertAlign w:val="superscript"/>
          </w:rPr>
          <w:t>36</w:t>
        </w:r>
      </w:fldSimple>
      <w:r>
        <w:t xml:space="preserve">. By engineering a positive emotional peak at the conclusion of the first-run flow, CRP Comply shapes what the user remembers, increasing the probability of a return visit.</w:t>
      </w:r>
    </w:p>
    <w:p>
      <w:pPr>
        <w:pStyle w:val="BodyText"/>
      </w:pPr>
      <w:r>
        <w:t xml:space="preserve">The endowed progress effect underpins the</w:t>
      </w:r>
      <w:r>
        <w:t xml:space="preserve"> </w:t>
      </w:r>
      <w:r>
        <w:t xml:space="preserve">“</w:t>
      </w:r>
      <w:r>
        <w:t xml:space="preserve">20% audit-ready</w:t>
      </w:r>
      <w:r>
        <w:t xml:space="preserve">”</w:t>
      </w:r>
      <w:r>
        <w:t xml:space="preserve"> </w:t>
      </w:r>
      <w:r>
        <w:t xml:space="preserve">messaging. Nunes and Dreze’s (2006) car wash study found that customers given a loyalty card with 2 of 10 stamps pre-filled had a</w:t>
      </w:r>
      <w:r>
        <w:t xml:space="preserve"> </w:t>
      </w:r>
      <w:r>
        <w:rPr>
          <w:bCs/>
          <w:b/>
        </w:rPr>
        <w:t xml:space="preserve">34% completion rate versus 19% for those starting at zero</w:t>
      </w:r>
      <w:r>
        <w:t xml:space="preserve"> </w:t>
      </w:r>
      <w:r>
        <w:t xml:space="preserve">— nearly double for identical real effort</w:t>
      </w:r>
      <w:r>
        <w:t xml:space="preserve"> </w:t>
      </w:r>
      <w:fldSimple w:instr="NOTEREF _Ref_Footnote_7 \h \f">
        <w:r>
          <w:rPr>
            <w:vertAlign w:val="superscript"/>
          </w:rPr>
          <w:t>7</w:t>
        </w:r>
      </w:fldSimple>
      <w:r>
        <w:t xml:space="preserve">. Starting users at</w:t>
      </w:r>
      <w:r>
        <w:t xml:space="preserve"> </w:t>
      </w:r>
      <w:r>
        <w:t xml:space="preserve">“</w:t>
      </w:r>
      <w:r>
        <w:t xml:space="preserve">20% audit-ready</w:t>
      </w:r>
      <w:r>
        <w:t xml:space="preserve">”</w:t>
      </w:r>
      <w:r>
        <w:t xml:space="preserve"> </w:t>
      </w:r>
      <w:r>
        <w:t xml:space="preserve">shifts their reference point from</w:t>
      </w:r>
      <w:r>
        <w:t xml:space="preserve"> </w:t>
      </w:r>
      <w:r>
        <w:t xml:space="preserve">“</w:t>
      </w:r>
      <w:r>
        <w:t xml:space="preserve">I haven’t started</w:t>
      </w:r>
      <w:r>
        <w:t xml:space="preserve">”</w:t>
      </w:r>
      <w:r>
        <w:t xml:space="preserve"> </w:t>
      </w:r>
      <w:r>
        <w:t xml:space="preserve">to</w:t>
      </w:r>
      <w:r>
        <w:t xml:space="preserve"> </w:t>
      </w:r>
      <w:r>
        <w:t xml:space="preserve">“</w:t>
      </w:r>
      <w:r>
        <w:t xml:space="preserve">I’m already partway there,</w:t>
      </w:r>
      <w:r>
        <w:t xml:space="preserve">”</w:t>
      </w:r>
      <w:r>
        <w:t xml:space="preserve"> </w:t>
      </w:r>
      <w:r>
        <w:t xml:space="preserve">triggering behavioural consistency and goal-gradient acceleration</w:t>
      </w:r>
      <w:r>
        <w:t xml:space="preserve"> </w:t>
      </w:r>
      <w:fldSimple w:instr="NOTEREF _Ref_Footnote_7 \h \f">
        <w:r>
          <w:rPr>
            <w:vertAlign w:val="superscript"/>
          </w:rPr>
          <w:t>7</w:t>
        </w:r>
      </w:fldSimple>
      <w:r>
        <w:t xml:space="preserve">. Meta-analyses confirm endowed progress lifts SaaS onboarding activation rates by</w:t>
      </w:r>
      <w:r>
        <w:t xml:space="preserve"> </w:t>
      </w:r>
      <w:r>
        <w:rPr>
          <w:bCs/>
          <w:b/>
        </w:rPr>
        <w:t xml:space="preserve">20-40%</w:t>
      </w:r>
      <w:r>
        <w:t xml:space="preserve"> </w:t>
      </w:r>
      <w:fldSimple w:instr="NOTEREF _Ref_Footnote_7 \h \f">
        <w:r>
          <w:rPr>
            <w:vertAlign w:val="superscript"/>
          </w:rPr>
          <w:t>7</w:t>
        </w:r>
      </w:fldSimple>
      <w:r>
        <w:t xml:space="preserve">.</w:t>
      </w:r>
    </w:p>
    <w:p>
      <w:pPr>
        <w:pStyle w:val="BodyText"/>
      </w:pPr>
      <w:r>
        <w:rPr>
          <w:bCs/>
          <w:b/>
        </w:rPr>
        <w:t xml:space="preserve">Table 10.2: Onboarding Flow Comparison — CRP Comply vs. Industry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Typical SaaS Onboarding</w:t>
            </w:r>
          </w:p>
        </w:tc>
        <w:tc>
          <w:tcPr/>
          <w:p>
            <w:pPr>
              <w:pStyle w:val="Compact"/>
              <w:jc w:val="left"/>
            </w:pPr>
            <w:r>
              <w:t xml:space="preserve">Compliance Competitor Onboarding</w:t>
            </w:r>
          </w:p>
        </w:tc>
        <w:tc>
          <w:tcPr/>
          <w:p>
            <w:pPr>
              <w:pStyle w:val="Compact"/>
              <w:jc w:val="left"/>
            </w:pPr>
            <w:r>
              <w:t xml:space="preserve">CRP Comply 60-Second Flow</w:t>
            </w:r>
          </w:p>
        </w:tc>
      </w:tr>
      <w:tr>
        <w:tc>
          <w:tcPr/>
          <w:p>
            <w:pPr>
              <w:pStyle w:val="Compact"/>
              <w:jc w:val="left"/>
            </w:pPr>
            <w:r>
              <w:t xml:space="preserve">Authentication</w:t>
            </w:r>
          </w:p>
        </w:tc>
        <w:tc>
          <w:tcPr/>
          <w:p>
            <w:pPr>
              <w:pStyle w:val="Compact"/>
              <w:jc w:val="left"/>
            </w:pPr>
            <w:r>
              <w:t xml:space="preserve">Email + password + MFA (~2-3 min)</w:t>
            </w:r>
            <w:r>
              <w:t xml:space="preserve"> </w:t>
            </w:r>
            <w:fldSimple w:instr="NOTEREF _Ref_Footnote_197 \h \f">
              <w:r>
                <w:rPr>
                  <w:vertAlign w:val="superscript"/>
                </w:rPr>
                <w:t>197</w:t>
              </w:r>
            </w:fldSimple>
          </w:p>
        </w:tc>
        <w:tc>
          <w:tcPr/>
          <w:p>
            <w:pPr>
              <w:pStyle w:val="Compact"/>
              <w:jc w:val="left"/>
            </w:pPr>
            <w:r>
              <w:t xml:space="preserve">SSO setup + admin approval (~1-7 days)</w:t>
            </w:r>
          </w:p>
        </w:tc>
        <w:tc>
          <w:tcPr/>
          <w:p>
            <w:pPr>
              <w:pStyle w:val="Compact"/>
              <w:jc w:val="left"/>
            </w:pPr>
            <w:r>
              <w:t xml:space="preserve">Passkey (~5 sec)</w:t>
            </w:r>
          </w:p>
        </w:tc>
      </w:tr>
      <w:tr>
        <w:tc>
          <w:tcPr/>
          <w:p>
            <w:pPr>
              <w:pStyle w:val="Compact"/>
              <w:jc w:val="left"/>
            </w:pPr>
            <w:r>
              <w:t xml:space="preserve">Account configuration</w:t>
            </w:r>
          </w:p>
        </w:tc>
        <w:tc>
          <w:tcPr/>
          <w:p>
            <w:pPr>
              <w:pStyle w:val="Compact"/>
              <w:jc w:val="left"/>
            </w:pPr>
            <w:r>
              <w:t xml:space="preserve">Profile form, team invites, billing (~5-10 min)</w:t>
            </w:r>
          </w:p>
        </w:tc>
        <w:tc>
          <w:tcPr/>
          <w:p>
            <w:pPr>
              <w:pStyle w:val="Compact"/>
              <w:jc w:val="left"/>
            </w:pPr>
            <w:r>
              <w:t xml:space="preserve">Contract negotiation, provisioning (~1-4 weeks)</w:t>
            </w:r>
          </w:p>
        </w:tc>
        <w:tc>
          <w:tcPr/>
          <w:p>
            <w:pPr>
              <w:pStyle w:val="Compact"/>
              <w:jc w:val="left"/>
            </w:pPr>
            <w:r>
              <w:t xml:space="preserve">3-question microsurvey (~15 sec)</w:t>
            </w:r>
            <w:r>
              <w:t xml:space="preserve"> </w:t>
            </w:r>
            <w:fldSimple w:instr="NOTEREF _Ref_Footnote_199 \h \f">
              <w:r>
                <w:rPr>
                  <w:vertAlign w:val="superscript"/>
                </w:rPr>
                <w:t>199</w:t>
              </w:r>
            </w:fldSimple>
          </w:p>
        </w:tc>
      </w:tr>
      <w:tr>
        <w:tc>
          <w:tcPr/>
          <w:p>
            <w:pPr>
              <w:pStyle w:val="Compact"/>
              <w:jc w:val="left"/>
            </w:pPr>
            <w:r>
              <w:t xml:space="preserve">First product interaction</w:t>
            </w:r>
          </w:p>
        </w:tc>
        <w:tc>
          <w:tcPr/>
          <w:p>
            <w:pPr>
              <w:pStyle w:val="Compact"/>
              <w:jc w:val="left"/>
            </w:pPr>
            <w:r>
              <w:t xml:space="preserve">Empty dashboard, product tour (~10-30 min)</w:t>
            </w:r>
          </w:p>
        </w:tc>
        <w:tc>
          <w:tcPr/>
          <w:p>
            <w:pPr>
              <w:pStyle w:val="Compact"/>
              <w:jc w:val="left"/>
            </w:pPr>
            <w:r>
              <w:t xml:space="preserve">Manual data import, consultant sessions (~2-8 weeks)</w:t>
            </w:r>
            <w:r>
              <w:t xml:space="preserve"> </w:t>
            </w:r>
            <w:fldSimple w:instr="NOTEREF _Ref_Footnote_23 \h \f">
              <w:r>
                <w:rPr>
                  <w:vertAlign w:val="superscript"/>
                </w:rPr>
                <w:t>23</w:t>
              </w:r>
            </w:fldSimple>
          </w:p>
        </w:tc>
        <w:tc>
          <w:tcPr/>
          <w:p>
            <w:pPr>
              <w:pStyle w:val="Compact"/>
              <w:jc w:val="left"/>
            </w:pPr>
            <w:r>
              <w:t xml:space="preserve">Demo risk classification (~30 sec)</w:t>
            </w:r>
          </w:p>
        </w:tc>
      </w:tr>
      <w:tr>
        <w:tc>
          <w:tcPr/>
          <w:p>
            <w:pPr>
              <w:pStyle w:val="Compact"/>
              <w:jc w:val="left"/>
            </w:pPr>
            <w:r>
              <w:t xml:space="preserve">Value realisation</w:t>
            </w:r>
          </w:p>
        </w:tc>
        <w:tc>
          <w:tcPr/>
          <w:p>
            <w:pPr>
              <w:pStyle w:val="Compact"/>
              <w:jc w:val="left"/>
            </w:pPr>
            <w:r>
              <w:t xml:space="preserve">User self-discovers feature value</w:t>
            </w:r>
          </w:p>
        </w:tc>
        <w:tc>
          <w:tcPr/>
          <w:p>
            <w:pPr>
              <w:pStyle w:val="Compact"/>
              <w:jc w:val="left"/>
            </w:pPr>
            <w:r>
              <w:t xml:space="preserve">Consultant delivers first report</w:t>
            </w:r>
          </w:p>
        </w:tc>
        <w:tc>
          <w:tcPr/>
          <w:p>
            <w:pPr>
              <w:pStyle w:val="Compact"/>
              <w:jc w:val="left"/>
            </w:pPr>
            <w:r>
              <w:t xml:space="preserve">Instant result + celebration (~10 sec)</w:t>
            </w:r>
          </w:p>
        </w:tc>
      </w:tr>
      <w:tr>
        <w:tc>
          <w:tcPr/>
          <w:p>
            <w:pPr>
              <w:pStyle w:val="Compact"/>
              <w:jc w:val="left"/>
            </w:pPr>
            <w:r>
              <w:t xml:space="preserve">Time-to-first-value</w:t>
            </w:r>
          </w:p>
        </w:tc>
        <w:tc>
          <w:tcPr/>
          <w:p>
            <w:pPr>
              <w:pStyle w:val="Compact"/>
              <w:jc w:val="left"/>
            </w:pPr>
            <w:r>
              <w:t xml:space="preserve">1 day, 12 hours, 23 min (average)</w:t>
            </w:r>
            <w:r>
              <w:t xml:space="preserve"> </w:t>
            </w:r>
            <w:fldSimple w:instr="NOTEREF _Ref_Footnote_1 \h \f">
              <w:r>
                <w:rPr>
                  <w:vertAlign w:val="superscript"/>
                </w:rPr>
                <w:t>1</w:t>
              </w:r>
            </w:fldSimple>
          </w:p>
        </w:tc>
        <w:tc>
          <w:tcPr/>
          <w:p>
            <w:pPr>
              <w:pStyle w:val="Compact"/>
              <w:jc w:val="left"/>
            </w:pPr>
            <w:r>
              <w:rPr>
                <w:bCs/>
                <w:b/>
              </w:rPr>
              <w:t xml:space="preserve">4-12 weeks</w:t>
            </w:r>
            <w:r>
              <w:t xml:space="preserve"> </w:t>
            </w:r>
            <w:r>
              <w:t xml:space="preserve">(industry standard)</w:t>
            </w:r>
          </w:p>
        </w:tc>
        <w:tc>
          <w:tcPr/>
          <w:p>
            <w:pPr>
              <w:pStyle w:val="Compact"/>
              <w:jc w:val="left"/>
            </w:pPr>
            <w:r>
              <w:rPr>
                <w:bCs/>
                <w:b/>
              </w:rPr>
              <w:t xml:space="preserve">~60 seconds</w:t>
            </w:r>
          </w:p>
        </w:tc>
      </w:tr>
      <w:tr>
        <w:tc>
          <w:tcPr/>
          <w:p>
            <w:pPr>
              <w:pStyle w:val="Compact"/>
              <w:jc w:val="left"/>
            </w:pPr>
            <w:r>
              <w:t xml:space="preserve">Activation rate</w:t>
            </w:r>
          </w:p>
        </w:tc>
        <w:tc>
          <w:tcPr/>
          <w:p>
            <w:pPr>
              <w:pStyle w:val="Compact"/>
              <w:jc w:val="left"/>
            </w:pPr>
            <w:r>
              <w:t xml:space="preserve">37.5% average</w:t>
            </w:r>
            <w:r>
              <w:t xml:space="preserve"> </w:t>
            </w:r>
            <w:fldSimple w:instr="NOTEREF _Ref_Footnote_3 \h \f">
              <w:r>
                <w:rPr>
                  <w:vertAlign w:val="superscript"/>
                </w:rPr>
                <w:t>3</w:t>
              </w:r>
            </w:fldSimple>
          </w:p>
        </w:tc>
        <w:tc>
          <w:tcPr/>
          <w:p>
            <w:pPr>
              <w:pStyle w:val="Compact"/>
              <w:jc w:val="left"/>
            </w:pPr>
            <w:r>
              <w:t xml:space="preserve">~15-25% (low self-serve adoption)</w:t>
            </w:r>
          </w:p>
        </w:tc>
        <w:tc>
          <w:tcPr/>
          <w:p>
            <w:pPr>
              <w:pStyle w:val="Compact"/>
              <w:jc w:val="left"/>
            </w:pPr>
            <w:r>
              <w:t xml:space="preserve">Target: &gt;45% (above industry average)</w:t>
            </w:r>
          </w:p>
        </w:tc>
      </w:tr>
    </w:tbl>
    <w:p>
      <w:pPr>
        <w:pStyle w:val="BodyText"/>
      </w:pPr>
      <w:r>
        <w:t xml:space="preserve">Table 10.2 reveals the magnitude of the TTV gap in the compliance sector. Where typical SaaS achieves first value in hours or days, compliance platforms routinely require weeks of implementation. CRP Comply’s 60-second target positions it approximately</w:t>
      </w:r>
      <w:r>
        <w:t xml:space="preserve"> </w:t>
      </w:r>
      <w:r>
        <w:rPr>
          <w:bCs/>
          <w:b/>
        </w:rPr>
        <w:t xml:space="preserve">60× faster</w:t>
      </w:r>
      <w:r>
        <w:t xml:space="preserve"> </w:t>
      </w:r>
      <w:r>
        <w:t xml:space="preserve">than any comparable compliance tool, converting a multi-week implementation cycle into a single-minute first-run experience.</w:t>
      </w:r>
    </w:p>
    <w:bookmarkEnd w:id="101"/>
    <w:bookmarkStart w:id="102" w:name="progressive-onboarding-trust-building"/>
    <w:p>
      <w:pPr>
        <w:pStyle w:val="Heading3"/>
      </w:pPr>
      <w:r>
        <w:t xml:space="preserve">10.3 Progressive Onboarding &amp; Trust Building</w:t>
      </w:r>
    </w:p>
    <w:p>
      <w:pPr>
        <w:pStyle w:val="FirstParagraph"/>
      </w:pPr>
      <w:r>
        <w:t xml:space="preserve">The 60-second first run is only the beginning. The broader onboarding strategy follows a</w:t>
      </w:r>
      <w:r>
        <w:t xml:space="preserve"> </w:t>
      </w:r>
      <w:r>
        <w:rPr>
          <w:bCs/>
          <w:b/>
        </w:rPr>
        <w:t xml:space="preserve">4-step trust sequence</w:t>
      </w:r>
      <w:r>
        <w:t xml:space="preserve"> </w:t>
      </w:r>
      <w:r>
        <w:t xml:space="preserve">that progressively deepens the user-platform relationship.</w:t>
      </w:r>
    </w:p>
    <w:p>
      <w:pPr>
        <w:pStyle w:val="BodyText"/>
      </w:pPr>
      <w:r>
        <w:rPr>
          <w:bCs/>
          <w:b/>
        </w:rPr>
        <w:t xml:space="preserve">Step 1 — Security trust (passkey signup)</w:t>
      </w:r>
      <w:r>
        <w:t xml:space="preserve"> </w:t>
      </w:r>
      <w:r>
        <w:t xml:space="preserve">establishes platform competence in under 5 seconds. Users experience biometric authentication as both faster and more secure than passwords, creating an immediate signal of technical sophistication</w:t>
      </w:r>
      <w:r>
        <w:t xml:space="preserve"> </w:t>
      </w:r>
      <w:fldSimple w:instr="NOTEREF _Ref_Footnote_197 \h \f">
        <w:r>
          <w:rPr>
            <w:vertAlign w:val="superscript"/>
          </w:rPr>
          <w:t>197</w:t>
        </w:r>
      </w:fldSimple>
      <w:r>
        <w:t xml:space="preserve">. Compliance users are inherently risk-averse: they will not trust a platform with regulatory data until they trust its security architecture.</w:t>
      </w:r>
    </w:p>
    <w:p>
      <w:pPr>
        <w:pStyle w:val="BodyText"/>
      </w:pPr>
      <w:r>
        <w:rPr>
          <w:bCs/>
          <w:b/>
        </w:rPr>
        <w:t xml:space="preserve">Step 2 — Value trust (demo classification)</w:t>
      </w:r>
      <w:r>
        <w:t xml:space="preserve"> </w:t>
      </w:r>
      <w:r>
        <w:t xml:space="preserve">demonstrates that the platform produces meaningful compliance output without configuration, data import, or training. This follows the ACCELERATE framework’s principle of delivering demonstrable value before or at the signup wall</w:t>
      </w:r>
      <w:r>
        <w:t xml:space="preserve"> </w:t>
      </w:r>
      <w:r>
        <w:rPr>
          <w:vertAlign w:val="superscript"/>
        </w:rPr>
        <w:footnoteReference w:id="200"/>
      </w:r>
      <w:r>
        <w:t xml:space="preserve">. Products that front-load value see substantially higher retention: Lovable achieves</w:t>
      </w:r>
      <w:r>
        <w:t xml:space="preserve"> </w:t>
      </w:r>
      <w:r>
        <w:rPr>
          <w:bCs/>
          <w:b/>
        </w:rPr>
        <w:t xml:space="preserve">85% day-30 retention</w:t>
      </w:r>
      <w:r>
        <w:t xml:space="preserve"> </w:t>
      </w:r>
      <w:r>
        <w:t xml:space="preserve">by generating an app preview before account creation</w:t>
      </w:r>
      <w:r>
        <w:t xml:space="preserve"> </w:t>
      </w:r>
      <w:r>
        <w:rPr>
          <w:vertAlign w:val="superscript"/>
        </w:rPr>
        <w:footnoteReference w:id="201"/>
      </w:r>
      <w:r>
        <w:t xml:space="preserve">.</w:t>
      </w:r>
    </w:p>
    <w:p>
      <w:pPr>
        <w:pStyle w:val="BodyText"/>
      </w:pPr>
      <w:r>
        <w:rPr>
          <w:bCs/>
          <w:b/>
        </w:rPr>
        <w:t xml:space="preserve">Step 3 — AI trust (first document draft with full human control)</w:t>
      </w:r>
      <w:r>
        <w:t xml:space="preserve">. After the demo classification, the user generates their first compliance document — but the autonomy dial defaults to</w:t>
      </w:r>
      <w:r>
        <w:t xml:space="preserve"> </w:t>
      </w:r>
      <w:r>
        <w:t xml:space="preserve">“</w:t>
      </w:r>
      <w:r>
        <w:t xml:space="preserve">Suggest Only,</w:t>
      </w:r>
      <w:r>
        <w:t xml:space="preserve">”</w:t>
      </w:r>
      <w:r>
        <w:t xml:space="preserve"> </w:t>
      </w:r>
      <w:r>
        <w:t xml:space="preserve">giving the user complete editorial control. This aligns with progressive disclosure: revealing complexity only when users are ready</w:t>
      </w:r>
      <w:r>
        <w:t xml:space="preserve"> </w:t>
      </w:r>
      <w:r>
        <w:rPr>
          <w:vertAlign w:val="superscript"/>
        </w:rPr>
        <w:footnoteReference w:id="202"/>
      </w:r>
      <w:r>
        <w:t xml:space="preserve"> </w:t>
      </w:r>
      <w:r>
        <w:rPr>
          <w:vertAlign w:val="superscript"/>
        </w:rPr>
        <w:footnoteReference w:id="203"/>
      </w:r>
      <w:r>
        <w:t xml:space="preserve">. Users cannot be asked to trust AI with compliance documents before they have experienced the platform’s security and value competence.</w:t>
      </w:r>
    </w:p>
    <w:p>
      <w:pPr>
        <w:pStyle w:val="BodyText"/>
      </w:pPr>
      <w:r>
        <w:rPr>
          <w:bCs/>
          <w:b/>
        </w:rPr>
        <w:t xml:space="preserve">Step 4 — Relationship trust (graduated autonomy)</w:t>
      </w:r>
      <w:r>
        <w:t xml:space="preserve">. As users experience successful document generation, the platform introduces higher-autonomy modes (Draft for Review → Autonomous), each graduation triggered by a success-count threshold. This graduated approach follows the Peak-End Rule: each successful completion creates a positive peak that compounds into habit formation</w:t>
      </w:r>
      <w:r>
        <w:t xml:space="preserve"> </w:t>
      </w:r>
      <w:fldSimple w:instr="NOTEREF _Ref_Footnote_36 \h \f">
        <w:r>
          <w:rPr>
            <w:vertAlign w:val="superscript"/>
          </w:rPr>
          <w:t>36</w:t>
        </w:r>
      </w:fldSimple>
      <w:r>
        <w:t xml:space="preserve">. The ability to escalate back to more control at any point creates psychological safety, encouraging experimentation with delegation.</w:t>
      </w:r>
    </w:p>
    <w:p>
      <w:pPr>
        <w:pStyle w:val="BodyText"/>
      </w:pPr>
      <w:r>
        <w:t xml:space="preserve">Progressive disclosure governs what is revealed at each stage. During the first session (0-5 minutes), the user sees only the risk classifier demo, recipe library browse, and first classification. Evidence layers, audit trails, and team features remain hidden until after core value is experienced</w:t>
      </w:r>
      <w:r>
        <w:t xml:space="preserve"> </w:t>
      </w:r>
      <w:fldSimple w:instr="NOTEREF _Ref_Footnote_202 \h \f">
        <w:r>
          <w:rPr>
            <w:vertAlign w:val="superscript"/>
          </w:rPr>
          <w:t>202</w:t>
        </w:r>
      </w:fldSimple>
      <w:r>
        <w:t xml:space="preserve">. Research confirms that a hybrid model — mostly guided from signup to first value, mostly self-guided thereafter — outperforms pure approaches on trial-to-paid conversion by substantial margins</w:t>
      </w:r>
      <w:r>
        <w:t xml:space="preserve"> </w:t>
      </w:r>
      <w:r>
        <w:rPr>
          <w:vertAlign w:val="superscript"/>
        </w:rPr>
        <w:footnoteReference w:id="204"/>
      </w:r>
      <w:r>
        <w:t xml:space="preserve">.</w:t>
      </w:r>
    </w:p>
    <w:p>
      <w:pPr>
        <w:pStyle w:val="BodyText"/>
      </w:pPr>
      <w:r>
        <w:t xml:space="preserve">The onboarding checklist reinforces this progressive structure, leveraging the Zeigarnik effect — people want to finish what they have started</w:t>
      </w:r>
      <w:r>
        <w:t xml:space="preserve"> </w:t>
      </w:r>
      <w:fldSimple w:instr="NOTEREF _Ref_Footnote_199 \h \f">
        <w:r>
          <w:rPr>
            <w:vertAlign w:val="superscript"/>
          </w:rPr>
          <w:t>199</w:t>
        </w:r>
      </w:fldSimple>
      <w:r>
        <w:t xml:space="preserve">. Best practice dictates</w:t>
      </w:r>
      <w:r>
        <w:t xml:space="preserve"> </w:t>
      </w:r>
      <w:r>
        <w:rPr>
          <w:bCs/>
          <w:b/>
        </w:rPr>
        <w:t xml:space="preserve">3 to 7 items maximum</w:t>
      </w:r>
      <w:r>
        <w:t xml:space="preserve">, ordered by value delivered, with each item achievable in a single session</w:t>
      </w:r>
      <w:r>
        <w:t xml:space="preserve"> </w:t>
      </w:r>
      <w:fldSimple w:instr="NOTEREF _Ref_Footnote_199 \h \f">
        <w:r>
          <w:rPr>
            <w:vertAlign w:val="superscript"/>
          </w:rPr>
          <w:t>199</w:t>
        </w:r>
      </w:fldSimple>
      <w:r>
        <w:t xml:space="preserve"> </w:t>
      </w:r>
      <w:r>
        <w:rPr>
          <w:vertAlign w:val="superscript"/>
        </w:rPr>
        <w:footnoteReference w:id="205"/>
      </w:r>
      <w:r>
        <w:t xml:space="preserve">. CRP Comply’s checklist contains exactly five items: (1) Run your first risk classification, (2) Explore the recipe library, (3) Save a result as evidence, (4) Export your first compliance report, and (5) Try hosted LLM mode ($5 credit). The first item auto-completes via the demo classification, giving the user immediate momentum — a checklist already 20% complete is more motivating than one at 0%</w:t>
      </w:r>
      <w:r>
        <w:t xml:space="preserve"> </w:t>
      </w:r>
      <w:fldSimple w:instr="NOTEREF _Ref_Footnote_7 \h \f">
        <w:r>
          <w:rPr>
            <w:vertAlign w:val="superscript"/>
          </w:rPr>
          <w:t>7</w:t>
        </w:r>
      </w:fldSimple>
      <w:r>
        <w:t xml:space="preserve">. Products with a quick win in onboarding retain</w:t>
      </w:r>
      <w:r>
        <w:t xml:space="preserve"> </w:t>
      </w:r>
      <w:r>
        <w:rPr>
          <w:bCs/>
          <w:b/>
        </w:rPr>
        <w:t xml:space="preserve">80% more users</w:t>
      </w:r>
      <w:r>
        <w:t xml:space="preserve"> </w:t>
      </w:r>
      <w:fldSimple w:instr="NOTEREF _Ref_Footnote_1 \h \f">
        <w:r>
          <w:rPr>
            <w:vertAlign w:val="superscript"/>
          </w:rPr>
          <w:t>1</w:t>
        </w:r>
      </w:fldSimple>
      <w:r>
        <w:t xml:space="preserve">, and checklist-completing users are</w:t>
      </w:r>
      <w:r>
        <w:t xml:space="preserve"> </w:t>
      </w:r>
      <w:r>
        <w:rPr>
          <w:bCs/>
          <w:b/>
        </w:rPr>
        <w:t xml:space="preserve">3× more likely to become paying customers</w:t>
      </w:r>
      <w:r>
        <w:t xml:space="preserve"> </w:t>
      </w:r>
      <w:fldSimple w:instr="NOTEREF _Ref_Footnote_1 \h \f">
        <w:r>
          <w:rPr>
            <w:vertAlign w:val="superscript"/>
          </w:rPr>
          <w:t>1</w:t>
        </w:r>
      </w:fldSimple>
      <w:r>
        <w:t xml:space="preserve">.</w:t>
      </w:r>
    </w:p>
    <w:p>
      <w:pPr>
        <w:pStyle w:val="BodyText"/>
      </w:pPr>
      <w:r>
        <w:t xml:space="preserve">The checklist completion benchmark across B2B SaaS is sobering: the average rate is only 19.2% (mean) and 10.1% (median) across 188 companies</w:t>
      </w:r>
      <w:r>
        <w:t xml:space="preserve"> </w:t>
      </w:r>
      <w:r>
        <w:rPr>
          <w:vertAlign w:val="superscript"/>
        </w:rPr>
        <w:footnoteReference w:id="206"/>
      </w:r>
      <w:r>
        <w:t xml:space="preserve"> </w:t>
      </w:r>
      <w:r>
        <w:rPr>
          <w:vertAlign w:val="superscript"/>
        </w:rPr>
        <w:footnoteReference w:id="207"/>
      </w:r>
      <w:r>
        <w:t xml:space="preserve">. Strong performers achieve 60-80%</w:t>
      </w:r>
      <w:r>
        <w:t xml:space="preserve"> </w:t>
      </w:r>
      <w:fldSimple w:instr="NOTEREF _Ref_Footnote_196 \h \f">
        <w:r>
          <w:rPr>
            <w:vertAlign w:val="superscript"/>
          </w:rPr>
          <w:t>196</w:t>
        </w:r>
      </w:fldSimple>
      <w:r>
        <w:t xml:space="preserve">. CRP Comply’s design — auto-completed first item, single-session tasks, five-item ceiling — is explicitly engineered to push completion above the 50% threshold separating functional onboarding from a red-flag experience</w:t>
      </w:r>
      <w:r>
        <w:t xml:space="preserve"> </w:t>
      </w:r>
      <w:fldSimple w:instr="NOTEREF _Ref_Footnote_196 \h \f">
        <w:r>
          <w:rPr>
            <w:vertAlign w:val="superscript"/>
          </w:rPr>
          <w:t>196</w:t>
        </w:r>
      </w:fldSimple>
      <w:r>
        <w:t xml:space="preserve">.</w:t>
      </w:r>
    </w:p>
    <w:p>
      <w:pPr>
        <w:pStyle w:val="BodyText"/>
      </w:pPr>
      <w:r>
        <w:t xml:space="preserve">Traditional product tours fail in this context: static tours exhibit</w:t>
      </w:r>
      <w:r>
        <w:t xml:space="preserve"> </w:t>
      </w:r>
      <w:r>
        <w:rPr>
          <w:bCs/>
          <w:b/>
        </w:rPr>
        <w:t xml:space="preserve">78% dismissal rates, 31% completion rates, and 15% feature adoption rates</w:t>
      </w:r>
      <w:r>
        <w:t xml:space="preserve"> </w:t>
      </w:r>
      <w:r>
        <w:rPr>
          <w:vertAlign w:val="superscript"/>
        </w:rPr>
        <w:footnoteReference w:id="208"/>
      </w:r>
      <w:r>
        <w:t xml:space="preserve">. CRP Comply avoids these by embedding guidance into the workflow itself — contextual tooltips triggered by user behaviour. Behaviour-triggered guidance achieves</w:t>
      </w:r>
      <w:r>
        <w:t xml:space="preserve"> </w:t>
      </w:r>
      <w:r>
        <w:rPr>
          <w:bCs/>
          <w:b/>
        </w:rPr>
        <w:t xml:space="preserve">68% higher engagement</w:t>
      </w:r>
      <w:r>
        <w:t xml:space="preserve"> </w:t>
      </w:r>
      <w:r>
        <w:t xml:space="preserve">than time-based alternatives</w:t>
      </w:r>
      <w:r>
        <w:t xml:space="preserve"> </w:t>
      </w:r>
      <w:fldSimple w:instr="NOTEREF _Ref_Footnote_208 \h \f">
        <w:r>
          <w:rPr>
            <w:vertAlign w:val="superscript"/>
          </w:rPr>
          <w:t>208</w:t>
        </w:r>
      </w:fldSimple>
      <w:r>
        <w:t xml:space="preserve">, and milestone-triggered guidance drives</w:t>
      </w:r>
      <w:r>
        <w:t xml:space="preserve"> </w:t>
      </w:r>
      <w:r>
        <w:rPr>
          <w:bCs/>
          <w:b/>
        </w:rPr>
        <w:t xml:space="preserve">2.9× higher feature adoption</w:t>
      </w:r>
      <w:r>
        <w:t xml:space="preserve"> </w:t>
      </w:r>
      <w:fldSimple w:instr="NOTEREF _Ref_Footnote_208 \h \f">
        <w:r>
          <w:rPr>
            <w:vertAlign w:val="superscript"/>
          </w:rPr>
          <w:t>208</w:t>
        </w:r>
      </w:fldSimple>
      <w:r>
        <w:t xml:space="preserve">. The first-run flow is not a tour — it is an action sequence that produces a tangible compliance artefact. The user learns by doing, not by watching.</w:t>
      </w:r>
    </w:p>
    <w:p>
      <w:r>
        <w:pict>
          <v:rect style="width:0;height:1.5pt" o:hralign="center" o:hrstd="t" o:hr="t"/>
        </w:pict>
      </w:r>
    </w:p>
    <w:bookmarkEnd w:id="102"/>
    <w:bookmarkEnd w:id="103"/>
    <w:bookmarkStart w:id="108" w:name="error-handling-recovery-trust-building"/>
    <w:p>
      <w:pPr>
        <w:pStyle w:val="Heading2"/>
      </w:pPr>
      <w:r>
        <w:t xml:space="preserve">11. Error Handling, Recovery &amp; Trust Building</w:t>
      </w:r>
    </w:p>
    <w:bookmarkStart w:id="104" w:name="the-service-recovery-paradox"/>
    <w:p>
      <w:pPr>
        <w:pStyle w:val="Heading3"/>
      </w:pPr>
      <w:r>
        <w:t xml:space="preserve">11.1 The Service Recovery Paradox</w:t>
      </w:r>
    </w:p>
    <w:p>
      <w:pPr>
        <w:pStyle w:val="FirstParagraph"/>
      </w:pPr>
      <w:r>
        <w:t xml:space="preserve">The Service Recovery Paradox (SRP) is among the most counter-intuitive findings in customer-experience research: a service failure followed by exceptional recovery can produce higher loyalty than no failure at all. A 2025 peer-reviewed</w:t>
      </w:r>
      <w:r>
        <w:t xml:space="preserve"> </w:t>
      </w:r>
      <w:r>
        <w:rPr>
          <w:iCs/>
          <w:i/>
        </w:rPr>
        <w:t xml:space="preserve">Springer</w:t>
      </w:r>
      <w:r>
        <w:t xml:space="preserve"> </w:t>
      </w:r>
      <w:r>
        <w:t xml:space="preserve">study with 661 participants found that</w:t>
      </w:r>
      <w:r>
        <w:t xml:space="preserve"> </w:t>
      </w:r>
      <w:r>
        <w:t xml:space="preserve">“</w:t>
      </w:r>
      <w:r>
        <w:t xml:space="preserve">customers who experience a service failure followed by successful recovery efforts may become more satisfied and loyal to a brand than those who did not experience any failure</w:t>
      </w:r>
      <w:r>
        <w:t xml:space="preserve">”</w:t>
      </w:r>
      <w:r>
        <w:t xml:space="preserve"> </w:t>
      </w:r>
      <w:fldSimple w:instr="NOTEREF _Ref_Footnote_8 \h \f">
        <w:r>
          <w:rPr>
            <w:vertAlign w:val="superscript"/>
          </w:rPr>
          <w:t>8</w:t>
        </w:r>
      </w:fldSimple>
      <w:r>
        <w:t xml:space="preserve">. Customers whose issues were handled well</w:t>
      </w:r>
      <w:r>
        <w:t xml:space="preserve"> </w:t>
      </w:r>
      <w:r>
        <w:t xml:space="preserve">“</w:t>
      </w:r>
      <w:r>
        <w:t xml:space="preserve">often show greater trust and long-term commitment to the brand than those who never had a problem</w:t>
      </w:r>
      <w:r>
        <w:t xml:space="preserve">”</w:t>
      </w:r>
      <w:r>
        <w:t xml:space="preserve"> </w:t>
      </w:r>
      <w:r>
        <w:rPr>
          <w:vertAlign w:val="superscript"/>
        </w:rPr>
        <w:footnoteReference w:id="209"/>
      </w:r>
      <w:r>
        <w:t xml:space="preserve">.</w:t>
      </w:r>
    </w:p>
    <w:p>
      <w:pPr>
        <w:pStyle w:val="BodyText"/>
      </w:pPr>
      <w:r>
        <w:t xml:space="preserve">Five cognitive mechanisms explain this phenomenon</w:t>
      </w:r>
      <w:r>
        <w:t xml:space="preserve"> </w:t>
      </w:r>
      <w:r>
        <w:rPr>
          <w:vertAlign w:val="superscript"/>
        </w:rPr>
        <w:footnoteReference w:id="210"/>
      </w:r>
      <w:r>
        <w:t xml:space="preserve">. Expectation Disconfirmation Theory holds that recovery exceeding lowered expectations can overshoot pre-failure satisfaction. Cognitive Dissonance Theory suggests strong recovery resolves mental discomfort from the failure, reinforcing positive brand views. Reciprocity means customers feel compelled to respond with loyalty when a company exceeds expectations in rectifying mistakes. Justice Theory identifies three drivers of recovery satisfaction: distributive justice (fairness of outcome), procedural justice (fairness of process), and interactional justice (quality of treatment)</w:t>
      </w:r>
      <w:r>
        <w:t xml:space="preserve"> </w:t>
      </w:r>
      <w:fldSimple w:instr="NOTEREF _Ref_Footnote_8 \h \f">
        <w:r>
          <w:rPr>
            <w:vertAlign w:val="superscript"/>
          </w:rPr>
          <w:t>8</w:t>
        </w:r>
      </w:fldSimple>
      <w:r>
        <w:t xml:space="preserve">. Research further shows that</w:t>
      </w:r>
      <w:r>
        <w:t xml:space="preserve"> </w:t>
      </w:r>
      <w:r>
        <w:t xml:space="preserve">“</w:t>
      </w:r>
      <w:r>
        <w:t xml:space="preserve">when companies admit fault and take responsibility, it can alleviate customer anger and trigger feelings of guilt for their own negative reactions</w:t>
      </w:r>
      <w:r>
        <w:t xml:space="preserve">”</w:t>
      </w:r>
      <w:r>
        <w:t xml:space="preserve"> </w:t>
      </w:r>
      <w:fldSimple w:instr="NOTEREF _Ref_Footnote_210 \h \f">
        <w:r>
          <w:rPr>
            <w:vertAlign w:val="superscript"/>
          </w:rPr>
          <w:t>210</w:t>
        </w:r>
      </w:fldSimple>
      <w:r>
        <w:t xml:space="preserve">.</w:t>
      </w:r>
    </w:p>
    <w:p>
      <w:pPr>
        <w:pStyle w:val="BodyText"/>
      </w:pPr>
      <w:r>
        <w:t xml:space="preserve">In compliance software, the SRP is especially potent. Errors involving audit documents trigger acute anxiety — users fear hours of lost work. When CRP Comply auto-saves every draft to IndexedDB, communicates transparently, and offers a clear recovery path within seconds, the user witnesses system resilience under pressure. That observed resilience often builds more trust than flawless execution, because users see how the platform behaves when things go wrong.</w:t>
      </w:r>
    </w:p>
    <w:bookmarkEnd w:id="104"/>
    <w:bookmarkStart w:id="105" w:name="graceful-degradation-patterns"/>
    <w:p>
      <w:pPr>
        <w:pStyle w:val="Heading3"/>
      </w:pPr>
      <w:r>
        <w:t xml:space="preserve">11.2 Graceful Degradation Patterns</w:t>
      </w:r>
    </w:p>
    <w:p>
      <w:pPr>
        <w:pStyle w:val="FirstParagraph"/>
      </w:pPr>
      <w:r>
        <w:t xml:space="preserve">Graceful degradation preserves core functionality when components fail. For CRP Comply, every AI draft must be auto-saved to IndexedDB locally before any network transmission, ensuring network failures or browser crashes never cause data loss</w:t>
      </w:r>
      <w:r>
        <w:t xml:space="preserve"> </w:t>
      </w:r>
      <w:r>
        <w:rPr>
          <w:vertAlign w:val="superscript"/>
        </w:rPr>
        <w:footnoteReference w:id="211"/>
      </w:r>
      <w:r>
        <w:t xml:space="preserve">. The offline-first architecture extends this: the application is</w:t>
      </w:r>
      <w:r>
        <w:t xml:space="preserve"> </w:t>
      </w:r>
      <w:r>
        <w:t xml:space="preserve">“</w:t>
      </w:r>
      <w:r>
        <w:t xml:space="preserve">designed to work offline by default and sync when connectivity returns — rather than treating offline as an error state</w:t>
      </w:r>
      <w:r>
        <w:t xml:space="preserve">”</w:t>
      </w:r>
      <w:r>
        <w:t xml:space="preserve"> </w:t>
      </w:r>
      <w:r>
        <w:rPr>
          <w:vertAlign w:val="superscript"/>
        </w:rPr>
        <w:footnoteReference w:id="212"/>
      </w:r>
      <w:r>
        <w:t xml:space="preserve">. Its four core principles are local-first reads, optimistic writes, background sync, and conflict resolution</w:t>
      </w:r>
      <w:r>
        <w:t xml:space="preserve"> </w:t>
      </w:r>
      <w:fldSimple w:instr="NOTEREF _Ref_Footnote_212 \h \f">
        <w:r>
          <w:rPr>
            <w:vertAlign w:val="superscript"/>
          </w:rPr>
          <w:t>212</w:t>
        </w:r>
      </w:fldSimple>
      <w:r>
        <w:t xml:space="preserve">.</w:t>
      </w:r>
    </w:p>
    <w:p>
      <w:pPr>
        <w:pStyle w:val="BodyText"/>
      </w:pPr>
      <w:r>
        <w:t xml:space="preserve">Error messaging follows equally strict rules. The American Press Institute found sentences of 8 words or less yield 100% reader comprehension, while 43+ word sentences drop below 10%</w:t>
      </w:r>
      <w:r>
        <w:t xml:space="preserve"> </w:t>
      </w:r>
      <w:r>
        <w:rPr>
          <w:vertAlign w:val="superscript"/>
        </w:rPr>
        <w:footnoteReference w:id="213"/>
      </w:r>
      <w:r>
        <w:t xml:space="preserve">. The word</w:t>
      </w:r>
      <w:r>
        <w:t xml:space="preserve"> </w:t>
      </w:r>
      <w:r>
        <w:t xml:space="preserve">“</w:t>
      </w:r>
      <w:r>
        <w:t xml:space="preserve">invalid</w:t>
      </w:r>
      <w:r>
        <w:t xml:space="preserve">”</w:t>
      </w:r>
      <w:r>
        <w:t xml:space="preserve"> </w:t>
      </w:r>
      <w:r>
        <w:t xml:space="preserve">should be avoided —</w:t>
      </w:r>
      <w:r>
        <w:t xml:space="preserve"> </w:t>
      </w:r>
      <w:r>
        <w:t xml:space="preserve">“</w:t>
      </w:r>
      <w:r>
        <w:t xml:space="preserve">it means nothing to the user and doesn’t actually describe what the problem is</w:t>
      </w:r>
      <w:r>
        <w:t xml:space="preserve">”</w:t>
      </w:r>
      <w:r>
        <w:t xml:space="preserve"> </w:t>
      </w:r>
      <w:r>
        <w:rPr>
          <w:vertAlign w:val="superscript"/>
        </w:rPr>
        <w:footnoteReference w:id="214"/>
      </w:r>
      <w:r>
        <w:t xml:space="preserve">. Nielsen Norman Group guidelines require error messages that help users</w:t>
      </w:r>
      <w:r>
        <w:t xml:space="preserve"> </w:t>
      </w:r>
      <w:r>
        <w:t xml:space="preserve">“</w:t>
      </w:r>
      <w:r>
        <w:t xml:space="preserve">recognize, diagnose, and recover from errors</w:t>
      </w:r>
      <w:r>
        <w:t xml:space="preserve">”</w:t>
      </w:r>
      <w:r>
        <w:t xml:space="preserve"> </w:t>
      </w:r>
      <w:r>
        <w:rPr>
          <w:vertAlign w:val="superscript"/>
        </w:rPr>
        <w:footnoteReference w:id="215"/>
      </w:r>
      <w:r>
        <w:t xml:space="preserve">. For CRP Comply, this means progressive disclosure: human-language problem statement, impact explanation, recovery actions, with technical details behind an expandable section</w:t>
      </w:r>
      <w:r>
        <w:t xml:space="preserve"> </w:t>
      </w:r>
      <w:r>
        <w:rPr>
          <w:vertAlign w:val="superscript"/>
        </w:rPr>
        <w:footnoteReference w:id="216"/>
      </w:r>
      <w:r>
        <w:t xml:space="preserve">.</w:t>
      </w:r>
    </w:p>
    <w:p>
      <w:pPr>
        <w:pStyle w:val="BodyText"/>
      </w:pPr>
      <w:r>
        <w:t xml:space="preserve">The following table compares error-handling patterns across trust impact and implementation complexity.</w:t>
      </w:r>
    </w:p>
    <w:tbl>
      <w:tblPr>
        <w:tblStyle w:val="Table"/>
        <w:tblW w:type="pct" w:w="5000"/>
        <w:tblLook w:firstRow="1" w:lastRow="0" w:firstColumn="0" w:lastColumn="0" w:noHBand="0" w:noVBand="0" w:val="0020"/>
      </w:tblPr>
      <w:tblGrid>
        <w:gridCol w:w="792"/>
        <w:gridCol w:w="1144"/>
        <w:gridCol w:w="2376"/>
        <w:gridCol w:w="2376"/>
        <w:gridCol w:w="1232"/>
      </w:tblGrid>
      <w:tr>
        <w:trPr>
          <w:tblHeader w:val="true"/>
        </w:trPr>
        <w:tc>
          <w:tcPr/>
          <w:p>
            <w:pPr>
              <w:pStyle w:val="Compact"/>
              <w:jc w:val="left"/>
            </w:pPr>
            <w:r>
              <w:t xml:space="preserve">Pattern</w:t>
            </w:r>
          </w:p>
        </w:tc>
        <w:tc>
          <w:tcPr/>
          <w:p>
            <w:pPr>
              <w:pStyle w:val="Compact"/>
              <w:jc w:val="left"/>
            </w:pPr>
            <w:r>
              <w:t xml:space="preserve">Trust Impact</w:t>
            </w:r>
          </w:p>
        </w:tc>
        <w:tc>
          <w:tcPr/>
          <w:p>
            <w:pPr>
              <w:pStyle w:val="Compact"/>
              <w:jc w:val="left"/>
            </w:pPr>
            <w:r>
              <w:t xml:space="preserve">Implementation Complexity</w:t>
            </w:r>
          </w:p>
        </w:tc>
        <w:tc>
          <w:tcPr/>
          <w:p>
            <w:pPr>
              <w:pStyle w:val="Compact"/>
              <w:jc w:val="left"/>
            </w:pPr>
            <w:r>
              <w:t xml:space="preserve">User-Perceived Reliability</w:t>
            </w:r>
          </w:p>
        </w:tc>
        <w:tc>
          <w:tcPr/>
          <w:p>
            <w:pPr>
              <w:pStyle w:val="Compact"/>
              <w:jc w:val="left"/>
            </w:pPr>
            <w:r>
              <w:t xml:space="preserve">Key Evidence</w:t>
            </w:r>
          </w:p>
        </w:tc>
      </w:tr>
      <w:tr>
        <w:tc>
          <w:tcPr/>
          <w:p>
            <w:pPr>
              <w:pStyle w:val="Compact"/>
              <w:jc w:val="left"/>
            </w:pPr>
            <w:r>
              <w:t xml:space="preserve">Auto-save to IndexedDB</w:t>
            </w:r>
          </w:p>
        </w:tc>
        <w:tc>
          <w:tcPr/>
          <w:p>
            <w:pPr>
              <w:pStyle w:val="Compact"/>
              <w:jc w:val="left"/>
            </w:pPr>
            <w:r>
              <w:t xml:space="preserve">Very High — eliminates data-loss anxiety</w:t>
            </w:r>
          </w:p>
        </w:tc>
        <w:tc>
          <w:tcPr/>
          <w:p>
            <w:pPr>
              <w:pStyle w:val="Compact"/>
              <w:jc w:val="left"/>
            </w:pPr>
            <w:r>
              <w:t xml:space="preserve">Low — debounce-based write every 2-3s</w:t>
            </w:r>
          </w:p>
        </w:tc>
        <w:tc>
          <w:tcPr/>
          <w:p>
            <w:pPr>
              <w:pStyle w:val="Compact"/>
              <w:jc w:val="left"/>
            </w:pPr>
            <w:r>
              <w:t xml:space="preserve">100% local persistence visible to user</w:t>
            </w:r>
          </w:p>
        </w:tc>
        <w:tc>
          <w:tcPr/>
          <w:p>
            <w:pPr>
              <w:pStyle w:val="Compact"/>
              <w:jc w:val="left"/>
            </w:pPr>
            <w:r>
              <w:t xml:space="preserve">GitHub</w:t>
            </w:r>
            <w:r>
              <w:t xml:space="preserve"> </w:t>
            </w:r>
            <w:fldSimple w:instr="NOTEREF _Ref_Footnote_211 \h \f">
              <w:r>
                <w:rPr>
                  <w:vertAlign w:val="superscript"/>
                </w:rPr>
                <w:t>211</w:t>
              </w:r>
            </w:fldSimple>
            <w:r>
              <w:t xml:space="preserve">, Dev.to</w:t>
            </w:r>
            <w:r>
              <w:t xml:space="preserve"> </w:t>
            </w:r>
            <w:fldSimple w:instr="NOTEREF _Ref_Footnote_212 \h \f">
              <w:r>
                <w:rPr>
                  <w:vertAlign w:val="superscript"/>
                </w:rPr>
                <w:t>212</w:t>
              </w:r>
            </w:fldSimple>
          </w:p>
        </w:tc>
      </w:tr>
      <w:tr>
        <w:tc>
          <w:tcPr/>
          <w:p>
            <w:pPr>
              <w:pStyle w:val="Compact"/>
              <w:jc w:val="left"/>
            </w:pPr>
            <w:r>
              <w:t xml:space="preserve">Retry with exponential backoff</w:t>
            </w:r>
          </w:p>
        </w:tc>
        <w:tc>
          <w:tcPr/>
          <w:p>
            <w:pPr>
              <w:pStyle w:val="Compact"/>
              <w:jc w:val="left"/>
            </w:pPr>
            <w:r>
              <w:t xml:space="preserve">High — seamless recovery from transient failures</w:t>
            </w:r>
          </w:p>
        </w:tc>
        <w:tc>
          <w:tcPr/>
          <w:p>
            <w:pPr>
              <w:pStyle w:val="Compact"/>
              <w:jc w:val="left"/>
            </w:pPr>
            <w:r>
              <w:t xml:space="preserve">Medium — 3-5 attempts with jitter</w:t>
            </w:r>
          </w:p>
        </w:tc>
        <w:tc>
          <w:tcPr/>
          <w:p>
            <w:pPr>
              <w:pStyle w:val="Compact"/>
              <w:jc w:val="left"/>
            </w:pPr>
            <w:r>
              <w:t xml:space="preserve">Invisible if successful; background resilience</w:t>
            </w:r>
          </w:p>
        </w:tc>
        <w:tc>
          <w:tcPr/>
          <w:p>
            <w:pPr>
              <w:pStyle w:val="Compact"/>
              <w:jc w:val="left"/>
            </w:pPr>
            <w:r>
              <w:t xml:space="preserve">Azure</w:t>
            </w:r>
            <w:r>
              <w:t xml:space="preserve"> </w:t>
            </w:r>
            <w:r>
              <w:rPr>
                <w:vertAlign w:val="superscript"/>
              </w:rPr>
              <w:footnoteReference w:id="217"/>
            </w:r>
            <w:r>
              <w:t xml:space="preserve"> </w:t>
            </w:r>
            <w:r>
              <w:rPr>
                <w:vertAlign w:val="superscript"/>
              </w:rPr>
              <w:footnoteReference w:id="218"/>
            </w:r>
            <w:r>
              <w:t xml:space="preserve">, GeeksforGeeks</w:t>
            </w:r>
            <w:r>
              <w:t xml:space="preserve"> </w:t>
            </w:r>
            <w:r>
              <w:rPr>
                <w:vertAlign w:val="superscript"/>
              </w:rPr>
              <w:footnoteReference w:id="219"/>
            </w:r>
          </w:p>
        </w:tc>
      </w:tr>
      <w:tr>
        <w:tc>
          <w:tcPr/>
          <w:p>
            <w:pPr>
              <w:pStyle w:val="Compact"/>
              <w:jc w:val="left"/>
            </w:pPr>
            <w:r>
              <w:t xml:space="preserve">Circuit breaker</w:t>
            </w:r>
          </w:p>
        </w:tc>
        <w:tc>
          <w:tcPr/>
          <w:p>
            <w:pPr>
              <w:pStyle w:val="Compact"/>
              <w:jc w:val="left"/>
            </w:pPr>
            <w:r>
              <w:t xml:space="preserve">High — prevents cascading failure exposure</w:t>
            </w:r>
          </w:p>
        </w:tc>
        <w:tc>
          <w:tcPr/>
          <w:p>
            <w:pPr>
              <w:pStyle w:val="Compact"/>
              <w:jc w:val="left"/>
            </w:pPr>
            <w:r>
              <w:t xml:space="preserve">Medium — three-state logic (Closed/Open/Half-Open)</w:t>
            </w:r>
          </w:p>
        </w:tc>
        <w:tc>
          <w:tcPr/>
          <w:p>
            <w:pPr>
              <w:pStyle w:val="Compact"/>
              <w:jc w:val="left"/>
            </w:pPr>
            <w:r>
              <w:t xml:space="preserve">Users see fast failure, not hangs</w:t>
            </w:r>
          </w:p>
        </w:tc>
        <w:tc>
          <w:tcPr/>
          <w:p>
            <w:pPr>
              <w:pStyle w:val="Compact"/>
              <w:jc w:val="left"/>
            </w:pPr>
            <w:r>
              <w:t xml:space="preserve">Azure</w:t>
            </w:r>
            <w:r>
              <w:t xml:space="preserve"> </w:t>
            </w:r>
            <w:fldSimple w:instr="NOTEREF _Ref_Footnote_217 \h \f">
              <w:r>
                <w:rPr>
                  <w:vertAlign w:val="superscript"/>
                </w:rPr>
                <w:t>217</w:t>
              </w:r>
            </w:fldSimple>
            <w:r>
              <w:t xml:space="preserve">, Medium</w:t>
            </w:r>
            <w:r>
              <w:t xml:space="preserve"> </w:t>
            </w:r>
            <w:r>
              <w:rPr>
                <w:vertAlign w:val="superscript"/>
              </w:rPr>
              <w:footnoteReference w:id="220"/>
            </w:r>
          </w:p>
        </w:tc>
      </w:tr>
      <w:tr>
        <w:tc>
          <w:tcPr/>
          <w:p>
            <w:pPr>
              <w:pStyle w:val="Compact"/>
              <w:jc w:val="left"/>
            </w:pPr>
            <w:r>
              <w:t xml:space="preserve">Undo/redo stack</w:t>
            </w:r>
          </w:p>
        </w:tc>
        <w:tc>
          <w:tcPr/>
          <w:p>
            <w:pPr>
              <w:pStyle w:val="Compact"/>
              <w:jc w:val="left"/>
            </w:pPr>
            <w:r>
              <w:t xml:space="preserve">Very High — removes fear of AI mistakes</w:t>
            </w:r>
          </w:p>
        </w:tc>
        <w:tc>
          <w:tcPr/>
          <w:p>
            <w:pPr>
              <w:pStyle w:val="Compact"/>
              <w:jc w:val="left"/>
            </w:pPr>
            <w:r>
              <w:t xml:space="preserve">Medium — stack semantics with prompt versioning</w:t>
            </w:r>
          </w:p>
        </w:tc>
        <w:tc>
          <w:tcPr/>
          <w:p>
            <w:pPr>
              <w:pStyle w:val="Compact"/>
              <w:jc w:val="left"/>
            </w:pPr>
            <w:r>
              <w:t xml:space="preserve">Granular reversibility at paragraph level</w:t>
            </w:r>
          </w:p>
        </w:tc>
        <w:tc>
          <w:tcPr/>
          <w:p>
            <w:pPr>
              <w:pStyle w:val="Compact"/>
              <w:jc w:val="left"/>
            </w:pPr>
            <w:r>
              <w:t xml:space="preserve">Productic</w:t>
            </w:r>
            <w:r>
              <w:t xml:space="preserve"> </w:t>
            </w:r>
            <w:r>
              <w:rPr>
                <w:vertAlign w:val="superscript"/>
              </w:rPr>
              <w:footnoteReference w:id="221"/>
            </w:r>
          </w:p>
        </w:tc>
      </w:tr>
      <w:tr>
        <w:tc>
          <w:tcPr/>
          <w:p>
            <w:pPr>
              <w:pStyle w:val="Compact"/>
              <w:jc w:val="left"/>
            </w:pPr>
            <w:r>
              <w:t xml:space="preserve">Offline-first + Background Sync</w:t>
            </w:r>
          </w:p>
        </w:tc>
        <w:tc>
          <w:tcPr/>
          <w:p>
            <w:pPr>
              <w:pStyle w:val="Compact"/>
              <w:jc w:val="left"/>
            </w:pPr>
            <w:r>
              <w:t xml:space="preserve">Very High — no data loss ever</w:t>
            </w:r>
          </w:p>
        </w:tc>
        <w:tc>
          <w:tcPr/>
          <w:p>
            <w:pPr>
              <w:pStyle w:val="Compact"/>
              <w:jc w:val="left"/>
            </w:pPr>
            <w:r>
              <w:t xml:space="preserve">High — Service Worker + IndexedDB queue</w:t>
            </w:r>
          </w:p>
        </w:tc>
        <w:tc>
          <w:tcPr/>
          <w:p>
            <w:pPr>
              <w:pStyle w:val="Compact"/>
              <w:jc w:val="left"/>
            </w:pPr>
            <w:r>
              <w:t xml:space="preserve">Fully transparent; sync survives tab close</w:t>
            </w:r>
          </w:p>
        </w:tc>
        <w:tc>
          <w:tcPr/>
          <w:p>
            <w:pPr>
              <w:pStyle w:val="Compact"/>
              <w:jc w:val="left"/>
            </w:pPr>
            <w:r>
              <w:t xml:space="preserve">PWA Guide</w:t>
            </w:r>
            <w:r>
              <w:t xml:space="preserve"> </w:t>
            </w:r>
            <w:r>
              <w:rPr>
                <w:vertAlign w:val="superscript"/>
              </w:rPr>
              <w:footnoteReference w:id="222"/>
            </w:r>
            <w:r>
              <w:t xml:space="preserve">, Dev.to</w:t>
            </w:r>
            <w:r>
              <w:t xml:space="preserve"> </w:t>
            </w:r>
            <w:fldSimple w:instr="NOTEREF _Ref_Footnote_212 \h \f">
              <w:r>
                <w:rPr>
                  <w:vertAlign w:val="superscript"/>
                </w:rPr>
                <w:t>212</w:t>
              </w:r>
            </w:fldSimple>
          </w:p>
        </w:tc>
      </w:tr>
      <w:tr>
        <w:tc>
          <w:tcPr/>
          <w:p>
            <w:pPr>
              <w:pStyle w:val="Compact"/>
              <w:jc w:val="left"/>
            </w:pPr>
            <w:r>
              <w:t xml:space="preserve">Progressive error disclosure</w:t>
            </w:r>
          </w:p>
        </w:tc>
        <w:tc>
          <w:tcPr/>
          <w:p>
            <w:pPr>
              <w:pStyle w:val="Compact"/>
              <w:jc w:val="left"/>
            </w:pPr>
            <w:r>
              <w:t xml:space="preserve">Medium-High — respects user expertise</w:t>
            </w:r>
          </w:p>
        </w:tc>
        <w:tc>
          <w:tcPr/>
          <w:p>
            <w:pPr>
              <w:pStyle w:val="Compact"/>
              <w:jc w:val="left"/>
            </w:pPr>
            <w:r>
              <w:t xml:space="preserve">Low — collapsible UI sections</w:t>
            </w:r>
          </w:p>
        </w:tc>
        <w:tc>
          <w:tcPr/>
          <w:p>
            <w:pPr>
              <w:pStyle w:val="Compact"/>
              <w:jc w:val="left"/>
            </w:pPr>
            <w:r>
              <w:t xml:space="preserve">Users get clarity without overwhelm</w:t>
            </w:r>
          </w:p>
        </w:tc>
        <w:tc>
          <w:tcPr/>
          <w:p>
            <w:pPr>
              <w:pStyle w:val="Compact"/>
              <w:jc w:val="left"/>
            </w:pPr>
            <w:r>
              <w:t xml:space="preserve">Tim Graf</w:t>
            </w:r>
            <w:r>
              <w:t xml:space="preserve"> </w:t>
            </w:r>
            <w:fldSimple w:instr="NOTEREF _Ref_Footnote_216 \h \f">
              <w:r>
                <w:rPr>
                  <w:vertAlign w:val="superscript"/>
                </w:rPr>
                <w:t>216</w:t>
              </w:r>
            </w:fldSimple>
            <w:r>
              <w:t xml:space="preserve">, NNG</w:t>
            </w:r>
            <w:r>
              <w:t xml:space="preserve"> </w:t>
            </w:r>
            <w:r>
              <w:rPr>
                <w:vertAlign w:val="superscript"/>
              </w:rPr>
              <w:footnoteReference w:id="223"/>
            </w:r>
          </w:p>
        </w:tc>
      </w:tr>
    </w:tbl>
    <w:p>
      <w:pPr>
        <w:pStyle w:val="BodyText"/>
      </w:pPr>
      <w:r>
        <w:t xml:space="preserve">The circuit breaker pattern — operating in three states: Closed (normal), Open (failing, blocks requests), and Half-Open (testing recovery) —</w:t>
      </w:r>
      <w:r>
        <w:t xml:space="preserve"> </w:t>
      </w:r>
      <w:r>
        <w:t xml:space="preserve">“</w:t>
      </w:r>
      <w:r>
        <w:t xml:space="preserve">improves UX by avoiding long waits and repeated timeouts</w:t>
      </w:r>
      <w:r>
        <w:t xml:space="preserve">”</w:t>
      </w:r>
      <w:r>
        <w:t xml:space="preserve"> </w:t>
      </w:r>
      <w:fldSimple w:instr="NOTEREF _Ref_Footnote_219 \h \f">
        <w:r>
          <w:rPr>
            <w:vertAlign w:val="superscript"/>
          </w:rPr>
          <w:t>219</w:t>
        </w:r>
      </w:fldSimple>
      <w:r>
        <w:t xml:space="preserve">. The two patterns are typically combined:</w:t>
      </w:r>
      <w:r>
        <w:t xml:space="preserve"> </w:t>
      </w:r>
      <w:r>
        <w:t xml:space="preserve">“</w:t>
      </w:r>
      <w:r>
        <w:t xml:space="preserve">an application can use the Retry pattern to invoke an operation through a circuit breaker</w:t>
      </w:r>
      <w:r>
        <w:t xml:space="preserve">”</w:t>
      </w:r>
      <w:r>
        <w:t xml:space="preserve"> </w:t>
      </w:r>
      <w:fldSimple w:instr="NOTEREF _Ref_Footnote_217 \h \f">
        <w:r>
          <w:rPr>
            <w:vertAlign w:val="superscript"/>
          </w:rPr>
          <w:t>217</w:t>
        </w:r>
      </w:fldSimple>
      <w:r>
        <w:t xml:space="preserve">, with exponential backoff living inside the breaker for maximum resilience</w:t>
      </w:r>
      <w:r>
        <w:t xml:space="preserve"> </w:t>
      </w:r>
      <w:fldSimple w:instr="NOTEREF _Ref_Footnote_220 \h \f">
        <w:r>
          <w:rPr>
            <w:vertAlign w:val="superscript"/>
          </w:rPr>
          <w:t>220</w:t>
        </w:r>
      </w:fldSimple>
      <w:r>
        <w:t xml:space="preserve">. For CRP Comply’s external integrations, this ensures a transient outage feels like a brief pause rather than a system failure.</w:t>
      </w:r>
    </w:p>
    <w:p>
      <w:pPr>
        <w:pStyle w:val="BodyText"/>
      </w:pPr>
      <w:r>
        <w:t xml:space="preserve">The graceful degradation matrix below maps failure scenarios to user-facing behaviour and recovery paths.</w:t>
      </w:r>
    </w:p>
    <w:tbl>
      <w:tblPr>
        <w:tblStyle w:val="Table"/>
        <w:tblW w:type="pct" w:w="5000"/>
        <w:tblLook w:firstRow="1" w:lastRow="0" w:firstColumn="0" w:lastColumn="0" w:noHBand="0" w:noVBand="0" w:val="0020"/>
      </w:tblPr>
      <w:tblGrid>
        <w:gridCol w:w="2321"/>
        <w:gridCol w:w="1502"/>
        <w:gridCol w:w="2048"/>
        <w:gridCol w:w="2048"/>
      </w:tblGrid>
      <w:tr>
        <w:trPr>
          <w:tblHeader w:val="true"/>
        </w:trPr>
        <w:tc>
          <w:tcPr/>
          <w:p>
            <w:pPr>
              <w:pStyle w:val="Compact"/>
              <w:jc w:val="left"/>
            </w:pPr>
            <w:r>
              <w:t xml:space="preserve">Failure Scenario</w:t>
            </w:r>
          </w:p>
        </w:tc>
        <w:tc>
          <w:tcPr/>
          <w:p>
            <w:pPr>
              <w:pStyle w:val="Compact"/>
              <w:jc w:val="left"/>
            </w:pPr>
            <w:r>
              <w:t xml:space="preserve">User Sees</w:t>
            </w:r>
          </w:p>
        </w:tc>
        <w:tc>
          <w:tcPr/>
          <w:p>
            <w:pPr>
              <w:pStyle w:val="Compact"/>
              <w:jc w:val="left"/>
            </w:pPr>
            <w:r>
              <w:t xml:space="preserve">System Action</w:t>
            </w:r>
          </w:p>
        </w:tc>
        <w:tc>
          <w:tcPr/>
          <w:p>
            <w:pPr>
              <w:pStyle w:val="Compact"/>
              <w:jc w:val="left"/>
            </w:pPr>
            <w:r>
              <w:t xml:space="preserve">Recovery Path</w:t>
            </w:r>
          </w:p>
        </w:tc>
      </w:tr>
      <w:tr>
        <w:tc>
          <w:tcPr/>
          <w:p>
            <w:pPr>
              <w:pStyle w:val="Compact"/>
              <w:jc w:val="left"/>
            </w:pPr>
            <w:r>
              <w:t xml:space="preserve">LLM API timeout or 5xx error</w:t>
            </w:r>
          </w:p>
        </w:tc>
        <w:tc>
          <w:tcPr/>
          <w:p>
            <w:pPr>
              <w:pStyle w:val="Compact"/>
              <w:jc w:val="left"/>
            </w:pPr>
            <w:r>
              <w:t xml:space="preserve">“</w:t>
            </w:r>
            <w:r>
              <w:t xml:space="preserve">I couldn’t complete this. Your draft is saved. Try with local LLM?</w:t>
            </w:r>
            <w:r>
              <w:t xml:space="preserve">”</w:t>
            </w:r>
          </w:p>
        </w:tc>
        <w:tc>
          <w:tcPr/>
          <w:p>
            <w:pPr>
              <w:pStyle w:val="Compact"/>
              <w:jc w:val="left"/>
            </w:pPr>
            <w:r>
              <w:t xml:space="preserve">Cache previous result; auto-save current draft; trigger circuit breaker</w:t>
            </w:r>
          </w:p>
        </w:tc>
        <w:tc>
          <w:tcPr/>
          <w:p>
            <w:pPr>
              <w:pStyle w:val="Compact"/>
              <w:jc w:val="left"/>
            </w:pPr>
            <w:r>
              <w:t xml:space="preserve">User retries with local LLM, or system retries with exponential backoff</w:t>
            </w:r>
            <w:r>
              <w:t xml:space="preserve"> </w:t>
            </w:r>
            <w:fldSimple w:instr="NOTEREF _Ref_Footnote_219 \h \f">
              <w:r>
                <w:rPr>
                  <w:vertAlign w:val="superscript"/>
                </w:rPr>
                <w:t>219</w:t>
              </w:r>
            </w:fldSimple>
            <w:r>
              <w:t xml:space="preserve"> </w:t>
            </w:r>
            <w:fldSimple w:instr="NOTEREF _Ref_Footnote_217 \h \f">
              <w:r>
                <w:rPr>
                  <w:vertAlign w:val="superscript"/>
                </w:rPr>
                <w:t>217</w:t>
              </w:r>
            </w:fldSimple>
          </w:p>
        </w:tc>
      </w:tr>
      <w:tr>
        <w:tc>
          <w:tcPr/>
          <w:p>
            <w:pPr>
              <w:pStyle w:val="Compact"/>
              <w:jc w:val="left"/>
            </w:pPr>
            <w:r>
              <w:t xml:space="preserve">Network disconnection</w:t>
            </w:r>
          </w:p>
        </w:tc>
        <w:tc>
          <w:tcPr/>
          <w:p>
            <w:pPr>
              <w:pStyle w:val="Compact"/>
              <w:jc w:val="left"/>
            </w:pPr>
            <w:r>
              <w:t xml:space="preserve">“</w:t>
            </w:r>
            <w:r>
              <w:t xml:space="preserve">Working offline. Changes saved locally.</w:t>
            </w:r>
            <w:r>
              <w:t xml:space="preserve">”</w:t>
            </w:r>
          </w:p>
        </w:tc>
        <w:tc>
          <w:tcPr/>
          <w:p>
            <w:pPr>
              <w:pStyle w:val="Compact"/>
              <w:jc w:val="left"/>
            </w:pPr>
            <w:r>
              <w:t xml:space="preserve">IndexedDB write succeeds; queue sync in Background Sync API</w:t>
            </w:r>
            <w:r>
              <w:t xml:space="preserve"> </w:t>
            </w:r>
            <w:fldSimple w:instr="NOTEREF _Ref_Footnote_222 \h \f">
              <w:r>
                <w:rPr>
                  <w:vertAlign w:val="superscript"/>
                </w:rPr>
                <w:t>222</w:t>
              </w:r>
            </w:fldSimple>
          </w:p>
        </w:tc>
        <w:tc>
          <w:tcPr/>
          <w:p>
            <w:pPr>
              <w:pStyle w:val="Compact"/>
              <w:jc w:val="left"/>
            </w:pPr>
            <w:r>
              <w:t xml:space="preserve">Auto-sync on reconnection; survives tab close</w:t>
            </w:r>
            <w:r>
              <w:t xml:space="preserve"> </w:t>
            </w:r>
            <w:fldSimple w:instr="NOTEREF _Ref_Footnote_212 \h \f">
              <w:r>
                <w:rPr>
                  <w:vertAlign w:val="superscript"/>
                </w:rPr>
                <w:t>212</w:t>
              </w:r>
            </w:fldSimple>
          </w:p>
        </w:tc>
      </w:tr>
      <w:tr>
        <w:tc>
          <w:tcPr/>
          <w:p>
            <w:pPr>
              <w:pStyle w:val="Compact"/>
              <w:jc w:val="left"/>
            </w:pPr>
            <w:r>
              <w:t xml:space="preserve">Browser crash or accidental close</w:t>
            </w:r>
          </w:p>
        </w:tc>
        <w:tc>
          <w:tcPr/>
          <w:p>
            <w:pPr>
              <w:pStyle w:val="Compact"/>
              <w:jc w:val="left"/>
            </w:pPr>
            <w:r>
              <w:t xml:space="preserve">“</w:t>
            </w:r>
            <w:r>
              <w:t xml:space="preserve">We found an unsaved draft from [time]. Restore it?</w:t>
            </w:r>
            <w:r>
              <w:t xml:space="preserve">”</w:t>
            </w:r>
          </w:p>
        </w:tc>
        <w:tc>
          <w:tcPr/>
          <w:p>
            <w:pPr>
              <w:pStyle w:val="Compact"/>
              <w:jc w:val="left"/>
            </w:pPr>
            <w:r>
              <w:t xml:space="preserve">IndexedDB draft detection on page load</w:t>
            </w:r>
          </w:p>
        </w:tc>
        <w:tc>
          <w:tcPr/>
          <w:p>
            <w:pPr>
              <w:pStyle w:val="Compact"/>
              <w:jc w:val="left"/>
            </w:pPr>
            <w:r>
              <w:t xml:space="preserve">One-click restore to pre-crash state</w:t>
            </w:r>
            <w:r>
              <w:t xml:space="preserve"> </w:t>
            </w:r>
            <w:fldSimple w:instr="NOTEREF _Ref_Footnote_211 \h \f">
              <w:r>
                <w:rPr>
                  <w:vertAlign w:val="superscript"/>
                </w:rPr>
                <w:t>211</w:t>
              </w:r>
            </w:fldSimple>
          </w:p>
        </w:tc>
      </w:tr>
      <w:tr>
        <w:tc>
          <w:tcPr/>
          <w:p>
            <w:pPr>
              <w:pStyle w:val="Compact"/>
              <w:jc w:val="left"/>
            </w:pPr>
            <w:r>
              <w:t xml:space="preserve">AI hallucination or low-confidence output</w:t>
            </w:r>
          </w:p>
        </w:tc>
        <w:tc>
          <w:tcPr/>
          <w:p>
            <w:pPr>
              <w:pStyle w:val="Compact"/>
              <w:jc w:val="left"/>
            </w:pPr>
            <w:r>
              <w:t xml:space="preserve">“</w:t>
            </w:r>
            <w:r>
              <w:t xml:space="preserve">Review Recommended</w:t>
            </w:r>
            <w:r>
              <w:t xml:space="preserve">”</w:t>
            </w:r>
            <w:r>
              <w:t xml:space="preserve"> </w:t>
            </w:r>
            <w:r>
              <w:t xml:space="preserve">badge with explanation</w:t>
            </w:r>
          </w:p>
        </w:tc>
        <w:tc>
          <w:tcPr/>
          <w:p>
            <w:pPr>
              <w:pStyle w:val="Compact"/>
              <w:jc w:val="left"/>
            </w:pPr>
            <w:r>
              <w:t xml:space="preserve">Flag content; store prompt parameters for reproducibility; offer undo</w:t>
            </w:r>
          </w:p>
        </w:tc>
        <w:tc>
          <w:tcPr/>
          <w:p>
            <w:pPr>
              <w:pStyle w:val="Compact"/>
              <w:jc w:val="left"/>
            </w:pPr>
            <w:r>
              <w:t xml:space="preserve">User edits, regenerates with adjusted prompt, or escalates to human review</w:t>
            </w:r>
            <w:r>
              <w:t xml:space="preserve"> </w:t>
            </w:r>
            <w:r>
              <w:rPr>
                <w:vertAlign w:val="superscript"/>
              </w:rPr>
              <w:footnoteReference w:id="224"/>
            </w:r>
            <w:r>
              <w:t xml:space="preserve"> </w:t>
            </w:r>
            <w:fldSimple w:instr="NOTEREF _Ref_Footnote_109 \h \f">
              <w:r>
                <w:rPr>
                  <w:vertAlign w:val="superscript"/>
                </w:rPr>
                <w:t>109</w:t>
              </w:r>
            </w:fldSimple>
          </w:p>
        </w:tc>
      </w:tr>
      <w:tr>
        <w:tc>
          <w:tcPr/>
          <w:p>
            <w:pPr>
              <w:pStyle w:val="Compact"/>
              <w:jc w:val="left"/>
            </w:pPr>
            <w:r>
              <w:t xml:space="preserve">Collaborative edit conflict</w:t>
            </w:r>
          </w:p>
        </w:tc>
        <w:tc>
          <w:tcPr/>
          <w:p>
            <w:pPr>
              <w:pStyle w:val="Compact"/>
              <w:jc w:val="left"/>
            </w:pPr>
            <w:r>
              <w:t xml:space="preserve">Toast:</w:t>
            </w:r>
            <w:r>
              <w:t xml:space="preserve"> </w:t>
            </w:r>
            <w:r>
              <w:t xml:space="preserve">“</w:t>
            </w:r>
            <w:r>
              <w:t xml:space="preserve">Changes merged automatically</w:t>
            </w:r>
            <w:r>
              <w:t xml:space="preserve">”</w:t>
            </w:r>
          </w:p>
        </w:tc>
        <w:tc>
          <w:tcPr/>
          <w:p>
            <w:pPr>
              <w:pStyle w:val="Compact"/>
              <w:jc w:val="left"/>
            </w:pPr>
            <w:r>
              <w:t xml:space="preserve">CRDT-based automatic merge; fine-grained save intervals</w:t>
            </w:r>
          </w:p>
        </w:tc>
        <w:tc>
          <w:tcPr/>
          <w:p>
            <w:pPr>
              <w:pStyle w:val="Compact"/>
              <w:jc w:val="left"/>
            </w:pPr>
            <w:r>
              <w:t xml:space="preserve">Invisible resolution; side-by-side diff shown only if merge fails</w:t>
            </w:r>
            <w:r>
              <w:t xml:space="preserve"> </w:t>
            </w:r>
            <w:r>
              <w:rPr>
                <w:vertAlign w:val="superscript"/>
              </w:rPr>
              <w:footnoteReference w:id="225"/>
            </w:r>
          </w:p>
        </w:tc>
      </w:tr>
      <w:tr>
        <w:tc>
          <w:tcPr/>
          <w:p>
            <w:pPr>
              <w:pStyle w:val="Compact"/>
              <w:jc w:val="left"/>
            </w:pPr>
            <w:r>
              <w:t xml:space="preserve">External integration failure (Jira/ServiceNow)</w:t>
            </w:r>
          </w:p>
        </w:tc>
        <w:tc>
          <w:tcPr/>
          <w:p>
            <w:pPr>
              <w:pStyle w:val="Compact"/>
              <w:jc w:val="left"/>
            </w:pPr>
            <w:r>
              <w:t xml:space="preserve">“</w:t>
            </w:r>
            <w:r>
              <w:t xml:space="preserve">Connection to Jira paused. Retrying in 8s…</w:t>
            </w:r>
            <w:r>
              <w:t xml:space="preserve">”</w:t>
            </w:r>
          </w:p>
        </w:tc>
        <w:tc>
          <w:tcPr/>
          <w:p>
            <w:pPr>
              <w:pStyle w:val="Compact"/>
              <w:jc w:val="left"/>
            </w:pPr>
            <w:r>
              <w:t xml:space="preserve">Circuit breaker opens; optimistic UI shows pending state; retry with backoff</w:t>
            </w:r>
          </w:p>
        </w:tc>
        <w:tc>
          <w:tcPr/>
          <w:p>
            <w:pPr>
              <w:pStyle w:val="Compact"/>
              <w:jc w:val="left"/>
            </w:pPr>
            <w:r>
              <w:t xml:space="preserve">Auto-recovery when integration resumes; manual retry button always available</w:t>
            </w:r>
            <w:r>
              <w:t xml:space="preserve"> </w:t>
            </w:r>
            <w:fldSimple w:instr="NOTEREF _Ref_Footnote_219 \h \f">
              <w:r>
                <w:rPr>
                  <w:vertAlign w:val="superscript"/>
                </w:rPr>
                <w:t>219</w:t>
              </w:r>
            </w:fldSimple>
            <w:r>
              <w:t xml:space="preserve"> </w:t>
            </w:r>
            <w:fldSimple w:instr="NOTEREF _Ref_Footnote_220 \h \f">
              <w:r>
                <w:rPr>
                  <w:vertAlign w:val="superscript"/>
                </w:rPr>
                <w:t>220</w:t>
              </w:r>
            </w:fldSimple>
          </w:p>
        </w:tc>
      </w:tr>
    </w:tbl>
    <w:bookmarkEnd w:id="105"/>
    <w:bookmarkStart w:id="106" w:name="ai-failure-handling"/>
    <w:p>
      <w:pPr>
        <w:pStyle w:val="Heading3"/>
      </w:pPr>
      <w:r>
        <w:t xml:space="preserve">11.3 AI Failure Handling</w:t>
      </w:r>
    </w:p>
    <w:p>
      <w:pPr>
        <w:pStyle w:val="FirstParagraph"/>
      </w:pPr>
      <w:r>
        <w:t xml:space="preserve">AI failures present a unique trust challenge because users cannot easily distinguish correct outputs from incorrect ones. Research found that</w:t>
      </w:r>
      <w:r>
        <w:t xml:space="preserve"> </w:t>
      </w:r>
      <w:r>
        <w:t xml:space="preserve">“</w:t>
      </w:r>
      <w:r>
        <w:t xml:space="preserve">the real problem isn’t wrong answers. It’s that right and wrong answers look identical</w:t>
      </w:r>
      <w:r>
        <w:t xml:space="preserve">”</w:t>
      </w:r>
      <w:r>
        <w:t xml:space="preserve"> </w:t>
      </w:r>
      <w:r>
        <w:rPr>
          <w:vertAlign w:val="superscript"/>
        </w:rPr>
        <w:footnoteReference w:id="226"/>
      </w:r>
      <w:r>
        <w:t xml:space="preserve">. A survey of 40 AI users found 88% had received incorrect information from AI, yet many only scanned responses before acting. Raw confidence scores exacerbate rather than solve this problem —</w:t>
      </w:r>
      <w:r>
        <w:t xml:space="preserve"> </w:t>
      </w:r>
      <w:r>
        <w:t xml:space="preserve">“</w:t>
      </w:r>
      <w:r>
        <w:t xml:space="preserve">numbers create anxiety without context. Users wanted to know what to do with uncertainty, not a score</w:t>
      </w:r>
      <w:r>
        <w:t xml:space="preserve">”</w:t>
      </w:r>
      <w:r>
        <w:t xml:space="preserve"> </w:t>
      </w:r>
      <w:fldSimple w:instr="NOTEREF _Ref_Footnote_226 \h \f">
        <w:r>
          <w:rPr>
            <w:vertAlign w:val="superscript"/>
          </w:rPr>
          <w:t>226</w:t>
        </w:r>
      </w:fldSimple>
      <w:r>
        <w:t xml:space="preserve">. One participant asked:</w:t>
      </w:r>
      <w:r>
        <w:t xml:space="preserve"> </w:t>
      </w:r>
      <w:r>
        <w:t xml:space="preserve">“</w:t>
      </w:r>
      <w:r>
        <w:t xml:space="preserve">Is an accuracy score of 85% even good?</w:t>
      </w:r>
      <w:r>
        <w:t xml:space="preserve">”</w:t>
      </w:r>
      <w:r>
        <w:t xml:space="preserve"> </w:t>
      </w:r>
      <w:fldSimple w:instr="NOTEREF _Ref_Footnote_224 \h \f">
        <w:r>
          <w:rPr>
            <w:vertAlign w:val="superscript"/>
          </w:rPr>
          <w:t>224</w:t>
        </w:r>
      </w:fldSimple>
      <w:r>
        <w:t xml:space="preserve">.</w:t>
      </w:r>
    </w:p>
    <w:p>
      <w:pPr>
        <w:pStyle w:val="BodyText"/>
      </w:pPr>
      <w:r>
        <w:t xml:space="preserve">The evidence supports language-based confidence indicators over numerical scores. Labels like</w:t>
      </w:r>
      <w:r>
        <w:t xml:space="preserve"> </w:t>
      </w:r>
      <w:r>
        <w:t xml:space="preserve">“</w:t>
      </w:r>
      <w:r>
        <w:t xml:space="preserve">High Confidence,</w:t>
      </w:r>
      <w:r>
        <w:t xml:space="preserve">”</w:t>
      </w:r>
      <w:r>
        <w:t xml:space="preserve"> </w:t>
      </w:r>
      <w:r>
        <w:t xml:space="preserve">“</w:t>
      </w:r>
      <w:r>
        <w:t xml:space="preserve">Moderate Confidence,</w:t>
      </w:r>
      <w:r>
        <w:t xml:space="preserve">”</w:t>
      </w:r>
      <w:r>
        <w:t xml:space="preserve"> </w:t>
      </w:r>
      <w:r>
        <w:t xml:space="preserve">and</w:t>
      </w:r>
      <w:r>
        <w:t xml:space="preserve"> </w:t>
      </w:r>
      <w:r>
        <w:t xml:space="preserve">“</w:t>
      </w:r>
      <w:r>
        <w:t xml:space="preserve">Low Confidence</w:t>
      </w:r>
      <w:r>
        <w:t xml:space="preserve">”</w:t>
      </w:r>
      <w:r>
        <w:t xml:space="preserve"> </w:t>
      </w:r>
      <w:r>
        <w:t xml:space="preserve">outperform raw percentages because they tell users what action to take</w:t>
      </w:r>
      <w:r>
        <w:t xml:space="preserve"> </w:t>
      </w:r>
      <w:fldSimple w:instr="NOTEREF _Ref_Footnote_226 \h \f">
        <w:r>
          <w:rPr>
            <w:vertAlign w:val="superscript"/>
          </w:rPr>
          <w:t>226</w:t>
        </w:r>
      </w:fldSimple>
      <w:r>
        <w:t xml:space="preserve">. Best-practice visualisation pairs colour-coded tags (Green ≥85%, Yellow 60-84%, Red &lt;60%) with clickable tooltips showing explanation, and always pairs low-confidence outputs with concrete actions such as</w:t>
      </w:r>
      <w:r>
        <w:t xml:space="preserve"> </w:t>
      </w:r>
      <w:r>
        <w:t xml:space="preserve">“</w:t>
      </w:r>
      <w:r>
        <w:t xml:space="preserve">Review recommended</w:t>
      </w:r>
      <w:r>
        <w:t xml:space="preserve">”</w:t>
      </w:r>
      <w:r>
        <w:t xml:space="preserve"> </w:t>
      </w:r>
      <w:fldSimple w:instr="NOTEREF _Ref_Footnote_109 \h \f">
        <w:r>
          <w:rPr>
            <w:vertAlign w:val="superscript"/>
          </w:rPr>
          <w:t>109</w:t>
        </w:r>
      </w:fldSimple>
      <w:r>
        <w:t xml:space="preserve">. The trust pattern hierarchy is clear:</w:t>
      </w:r>
      <w:r>
        <w:t xml:space="preserve"> </w:t>
      </w:r>
      <w:r>
        <w:t xml:space="preserve">“</w:t>
      </w:r>
      <w:r>
        <w:t xml:space="preserve">Lead with provenance (citations or source browser), explicit uncertainty, and a human escalation path</w:t>
      </w:r>
      <w:r>
        <w:t xml:space="preserve">”</w:t>
      </w:r>
      <w:r>
        <w:t xml:space="preserve"> </w:t>
      </w:r>
      <w:r>
        <w:rPr>
          <w:vertAlign w:val="superscript"/>
        </w:rPr>
        <w:footnoteReference w:id="227"/>
      </w:r>
      <w:r>
        <w:t xml:space="preserve">.</w:t>
      </w:r>
    </w:p>
    <w:p>
      <w:pPr>
        <w:pStyle w:val="BodyText"/>
      </w:pPr>
      <w:r>
        <w:t xml:space="preserve">When an LLM call fails — through hallucination, API outage, or rate limiting — CRP Comply surfaces a cached result immediately, never a blank screen. The message should be transparent, actionable, and non-technical:</w:t>
      </w:r>
      <w:r>
        <w:t xml:space="preserve"> </w:t>
      </w:r>
      <w:r>
        <w:t xml:space="preserve">“</w:t>
      </w:r>
      <w:r>
        <w:t xml:space="preserve">I couldn’t complete this. Your draft is saved. Try with local LLM?</w:t>
      </w:r>
      <w:r>
        <w:t xml:space="preserve">”</w:t>
      </w:r>
      <w:r>
        <w:t xml:space="preserve"> </w:t>
      </w:r>
      <w:r>
        <w:t xml:space="preserve">This communicates what happened, what was preserved, and the next step. For compliance content, an immutable audit trail records every AI-generated change alongside prompt parameters, enabling reproducibility and human review</w:t>
      </w:r>
      <w:r>
        <w:t xml:space="preserve"> </w:t>
      </w:r>
      <w:fldSimple w:instr="NOTEREF _Ref_Footnote_221 \h \f">
        <w:r>
          <w:rPr>
            <w:vertAlign w:val="superscript"/>
          </w:rPr>
          <w:t>221</w:t>
        </w:r>
      </w:fldSimple>
      <w:r>
        <w:t xml:space="preserve">. The undo stack supports granular reversibility at the paragraph level, with prompt versioning so users can trace why a particular output was produced</w:t>
      </w:r>
      <w:r>
        <w:t xml:space="preserve"> </w:t>
      </w:r>
      <w:fldSimple w:instr="NOTEREF _Ref_Footnote_221 \h \f">
        <w:r>
          <w:rPr>
            <w:vertAlign w:val="superscript"/>
          </w:rPr>
          <w:t>221</w:t>
        </w:r>
      </w:fldSimple>
      <w:r>
        <w:t xml:space="preserve">.</w:t>
      </w:r>
    </w:p>
    <w:bookmarkEnd w:id="106"/>
    <w:bookmarkStart w:id="107" w:name="empathetic-copywriting-trust-signals"/>
    <w:p>
      <w:pPr>
        <w:pStyle w:val="Heading3"/>
      </w:pPr>
      <w:r>
        <w:t xml:space="preserve">11.4 Empathetic Copywriting &amp; Trust Signals</w:t>
      </w:r>
    </w:p>
    <w:p>
      <w:pPr>
        <w:pStyle w:val="FirstParagraph"/>
      </w:pPr>
      <w:r>
        <w:t xml:space="preserve">Error copy is not decorative — it is a retention instrument.</w:t>
      </w:r>
      <w:r>
        <w:t xml:space="preserve"> </w:t>
      </w:r>
      <w:r>
        <w:t xml:space="preserve">“</w:t>
      </w:r>
      <w:r>
        <w:t xml:space="preserve">Error messages are much more than technical notifications — they are an opportunity to increase the trust and satisfaction of your users. A well-designed error message shows the user that you support them even in difficult moments</w:t>
      </w:r>
      <w:r>
        <w:t xml:space="preserve">”</w:t>
      </w:r>
      <w:r>
        <w:t xml:space="preserve"> </w:t>
      </w:r>
      <w:r>
        <w:rPr>
          <w:vertAlign w:val="superscript"/>
        </w:rPr>
        <w:footnoteReference w:id="228"/>
      </w:r>
      <w:r>
        <w:t xml:space="preserve">. The tone must be human:</w:t>
      </w:r>
      <w:r>
        <w:t xml:space="preserve"> </w:t>
      </w:r>
      <w:r>
        <w:t xml:space="preserve">“</w:t>
      </w:r>
      <w:r>
        <w:t xml:space="preserve">Your password needs at least 8 characters, including a number. You’ve got this!</w:t>
      </w:r>
      <w:r>
        <w:t xml:space="preserve">”</w:t>
      </w:r>
      <w:r>
        <w:t xml:space="preserve"> </w:t>
      </w:r>
      <w:r>
        <w:t xml:space="preserve">instead of</w:t>
      </w:r>
      <w:r>
        <w:t xml:space="preserve"> </w:t>
      </w:r>
      <w:r>
        <w:t xml:space="preserve">“</w:t>
      </w:r>
      <w:r>
        <w:t xml:space="preserve">Password requirements not met</w:t>
      </w:r>
      <w:r>
        <w:t xml:space="preserve">”</w:t>
      </w:r>
      <w:r>
        <w:t xml:space="preserve"> </w:t>
      </w:r>
      <w:r>
        <w:rPr>
          <w:vertAlign w:val="superscript"/>
        </w:rPr>
        <w:footnoteReference w:id="229"/>
      </w:r>
      <w:r>
        <w:t xml:space="preserve">. Slack exemplifies this approach with</w:t>
      </w:r>
      <w:r>
        <w:t xml:space="preserve"> </w:t>
      </w:r>
      <w:r>
        <w:t xml:space="preserve">“</w:t>
      </w:r>
      <w:r>
        <w:t xml:space="preserve">We’re having trouble connecting. We’re on it!</w:t>
      </w:r>
      <w:r>
        <w:t xml:space="preserve">”</w:t>
      </w:r>
      <w:r>
        <w:t xml:space="preserve"> </w:t>
      </w:r>
      <w:r>
        <w:t xml:space="preserve">— a message that reassures while maintaining brand voice</w:t>
      </w:r>
      <w:r>
        <w:t xml:space="preserve"> </w:t>
      </w:r>
      <w:fldSimple w:instr="NOTEREF _Ref_Footnote_229 \h \f">
        <w:r>
          <w:rPr>
            <w:vertAlign w:val="superscript"/>
          </w:rPr>
          <w:t>229</w:t>
        </w:r>
      </w:fldSimple>
      <w:r>
        <w:t xml:space="preserve">. Humour may be used, but</w:t>
      </w:r>
      <w:r>
        <w:t xml:space="preserve"> </w:t>
      </w:r>
      <w:r>
        <w:t xml:space="preserve">“</w:t>
      </w:r>
      <w:r>
        <w:t xml:space="preserve">never undermine the clarity of the message or the user’s ability to solve the problem</w:t>
      </w:r>
      <w:r>
        <w:t xml:space="preserve">”</w:t>
      </w:r>
      <w:r>
        <w:t xml:space="preserve"> </w:t>
      </w:r>
      <w:fldSimple w:instr="NOTEREF _Ref_Footnote_214 \h \f">
        <w:r>
          <w:rPr>
            <w:vertAlign w:val="superscript"/>
          </w:rPr>
          <w:t>214</w:t>
        </w:r>
      </w:fldSimple>
      <w:r>
        <w:t xml:space="preserve">.</w:t>
      </w:r>
    </w:p>
    <w:p>
      <w:pPr>
        <w:pStyle w:val="BodyText"/>
      </w:pPr>
      <w:r>
        <w:t xml:space="preserve">Four core principles govern empathetic error copy: clarity (simple, familiar words), brevity (fewer than three sentences for microcopy), context-awareness (anticipate questions and provide answers just in time), and empathy (consider how users feel at each step)</w:t>
      </w:r>
      <w:r>
        <w:t xml:space="preserve"> </w:t>
      </w:r>
      <w:r>
        <w:rPr>
          <w:vertAlign w:val="superscript"/>
        </w:rPr>
        <w:footnoteReference w:id="230"/>
      </w:r>
      <w:r>
        <w:t xml:space="preserve">. Accessibility demands writing for all reading levels, avoiding idioms and complex metaphors, and including ARIA labels for screen readers</w:t>
      </w:r>
      <w:r>
        <w:t xml:space="preserve"> </w:t>
      </w:r>
      <w:fldSimple w:instr="NOTEREF _Ref_Footnote_230 \h \f">
        <w:r>
          <w:rPr>
            <w:vertAlign w:val="superscript"/>
          </w:rPr>
          <w:t>230</w:t>
        </w:r>
      </w:fldSimple>
      <w:r>
        <w:t xml:space="preserve">. Research from Baymard Institute adds a quantitative dimension:</w:t>
      </w:r>
      <w:r>
        <w:t xml:space="preserve"> </w:t>
      </w:r>
      <w:r>
        <w:t xml:space="preserve">“</w:t>
      </w:r>
      <w:r>
        <w:t xml:space="preserve">nearly 70 percent of users will abandon a form if they encounter complications</w:t>
      </w:r>
      <w:r>
        <w:t xml:space="preserve">”</w:t>
      </w:r>
      <w:r>
        <w:t xml:space="preserve"> </w:t>
      </w:r>
      <w:r>
        <w:rPr>
          <w:vertAlign w:val="superscript"/>
        </w:rPr>
        <w:footnoteReference w:id="231"/>
      </w:r>
      <w:r>
        <w:t xml:space="preserve">, making inline validation — with positive reinforcement through green checkmarks — a critical error-prevention strategy</w:t>
      </w:r>
      <w:r>
        <w:t xml:space="preserve"> </w:t>
      </w:r>
      <w:r>
        <w:rPr>
          <w:vertAlign w:val="superscript"/>
        </w:rPr>
        <w:footnoteReference w:id="232"/>
      </w:r>
      <w:r>
        <w:t xml:space="preserve">.</w:t>
      </w:r>
    </w:p>
    <w:p>
      <w:pPr>
        <w:pStyle w:val="BodyText"/>
      </w:pPr>
      <w:r>
        <w:t xml:space="preserve">Trust signals operate alongside copy to reinforce confidence. Compliance badges placed near call-to-action buttons lift conversions by 10-20% because they answer security objections before prospects raise them</w:t>
      </w:r>
      <w:r>
        <w:t xml:space="preserve"> </w:t>
      </w:r>
      <w:fldSimple w:instr="NOTEREF _Ref_Footnote_171 \h \f">
        <w:r>
          <w:rPr>
            <w:vertAlign w:val="superscript"/>
          </w:rPr>
          <w:t>171</w:t>
        </w:r>
      </w:fldSimple>
      <w:r>
        <w:t xml:space="preserve">. SOC 2 Type II, ISO 27001, and GDPR badges in the application header or footer serve this function for enterprise buyers, who</w:t>
      </w:r>
      <w:r>
        <w:t xml:space="preserve"> </w:t>
      </w:r>
      <w:r>
        <w:t xml:space="preserve">“</w:t>
      </w:r>
      <w:r>
        <w:t xml:space="preserve">usually prioritize security compliance badges, implementation guarantees, and case studies from similarly sized companies</w:t>
      </w:r>
      <w:r>
        <w:t xml:space="preserve">”</w:t>
      </w:r>
      <w:r>
        <w:t xml:space="preserve"> </w:t>
      </w:r>
      <w:fldSimple w:instr="NOTEREF _Ref_Footnote_171 \h \f">
        <w:r>
          <w:rPr>
            <w:vertAlign w:val="superscript"/>
          </w:rPr>
          <w:t>171</w:t>
        </w:r>
      </w:fldSimple>
      <w:r>
        <w:t xml:space="preserve">. Third-party validation carries more weight than self-proclaimed claims: ratings such as</w:t>
      </w:r>
      <w:r>
        <w:t xml:space="preserve"> </w:t>
      </w:r>
      <w:r>
        <w:t xml:space="preserve">“</w:t>
      </w:r>
      <w:r>
        <w:t xml:space="preserve">4.8/5 on G2 from 6{,}000+ reviews</w:t>
      </w:r>
      <w:r>
        <w:t xml:space="preserve">”</w:t>
      </w:r>
      <w:r>
        <w:t xml:space="preserve"> </w:t>
      </w:r>
      <w:r>
        <w:t xml:space="preserve">signal both scale and consistency</w:t>
      </w:r>
      <w:r>
        <w:t xml:space="preserve"> </w:t>
      </w:r>
      <w:fldSimple w:instr="NOTEREF _Ref_Footnote_171 \h \f">
        <w:r>
          <w:rPr>
            <w:vertAlign w:val="superscript"/>
          </w:rPr>
          <w:t>171</w:t>
        </w:r>
      </w:fldSimple>
      <w:r>
        <w:t xml:space="preserve">. Within the application, encryption indicators serve as</w:t>
      </w:r>
      <w:r>
        <w:t xml:space="preserve"> </w:t>
      </w:r>
      <w:r>
        <w:t xml:space="preserve">“</w:t>
      </w:r>
      <w:r>
        <w:t xml:space="preserve">trust indicator graphic assets</w:t>
      </w:r>
      <w:r>
        <w:t xml:space="preserve">”</w:t>
      </w:r>
      <w:r>
        <w:t xml:space="preserve"> </w:t>
      </w:r>
      <w:r>
        <w:t xml:space="preserve">that communicate verified protection</w:t>
      </w:r>
      <w:r>
        <w:t xml:space="preserve"> </w:t>
      </w:r>
      <w:r>
        <w:rPr>
          <w:vertAlign w:val="superscript"/>
        </w:rPr>
        <w:footnoteReference w:id="233"/>
      </w:r>
      <w:r>
        <w:t xml:space="preserve">, while HMAC signature verification on every evidence item demonstrates tamper-evident integrity. Secure software development practices — including threat modelling, secure coding standards, and vulnerability testing — underpin the trust architecture that badges signify</w:t>
      </w:r>
      <w:r>
        <w:t xml:space="preserve"> </w:t>
      </w:r>
      <w:r>
        <w:rPr>
          <w:vertAlign w:val="superscript"/>
        </w:rPr>
        <w:footnoteReference w:id="234"/>
      </w:r>
      <w:r>
        <w:t xml:space="preserve">.</w:t>
      </w:r>
    </w:p>
    <w:p>
      <w:pPr>
        <w:pStyle w:val="BodyText"/>
      </w:pPr>
      <w:r>
        <w:t xml:space="preserve">The synthesis for CRP Comply is direct: every error moment is a trust-building opportunity. Auto-save eliminates catastrophic data-loss anxiety. Transparent, human-language error messages with recovery paths demonstrate competence under pressure. AI failure handling surfacing alternatives shows system resilience. Trust signals — visual badges and behavioural evidence of security — reinforce credibility at every touchpoint. The Service Recovery Paradox ensures a well-handled error can leave users more loyal than flawless execution ever could</w:t>
      </w:r>
      <w:r>
        <w:t xml:space="preserve"> </w:t>
      </w:r>
      <w:fldSimple w:instr="NOTEREF _Ref_Footnote_8 \h \f">
        <w:r>
          <w:rPr>
            <w:vertAlign w:val="superscript"/>
          </w:rPr>
          <w:t>8</w:t>
        </w:r>
      </w:fldSimple>
      <w:r>
        <w:t xml:space="preserve"> </w:t>
      </w:r>
      <w:fldSimple w:instr="NOTEREF _Ref_Footnote_209 \h \f">
        <w:r>
          <w:rPr>
            <w:vertAlign w:val="superscript"/>
          </w:rPr>
          <w:t>209</w:t>
        </w:r>
      </w:fldSimple>
      <w:r>
        <w:t xml:space="preserve">.</w:t>
      </w:r>
    </w:p>
    <w:p>
      <w:r>
        <w:pict>
          <v:rect style="width:0;height:1.5pt" o:hralign="center" o:hrstd="t" o:hr="t"/>
        </w:pict>
      </w:r>
    </w:p>
    <w:bookmarkEnd w:id="107"/>
    <w:bookmarkEnd w:id="108"/>
    <w:bookmarkStart w:id="118" w:name="crp-comply-implementation-roadmap"/>
    <w:p>
      <w:pPr>
        <w:pStyle w:val="Heading2"/>
      </w:pPr>
      <w:r>
        <w:t xml:space="preserve">12. CRP Comply Implementation Roadmap</w:t>
      </w:r>
    </w:p>
    <w:p>
      <w:pPr>
        <w:pStyle w:val="FirstParagraph"/>
      </w:pPr>
      <w:r>
        <w:t xml:space="preserve">The preceding eleven chapters established a comprehensive evidence base for user satisfaction in compliance technology. This final chapter synthesises those findings into an actionable, phased implementation roadmap. The recommendations below are sequenced by priority, dependency, and expected impact — translating research insights into engineering tickets the team can execute immediately.</w:t>
      </w:r>
    </w:p>
    <w:bookmarkStart w:id="109" w:name="X1dbd48b912d97a28e640701a21972e01f8d8f6e"/>
    <w:p>
      <w:pPr>
        <w:pStyle w:val="Heading3"/>
      </w:pPr>
      <w:r>
        <w:t xml:space="preserve">12.1 P0: Immediate (Weeks 1–4) — Foundation &amp; First Impressions</w:t>
      </w:r>
    </w:p>
    <w:p>
      <w:pPr>
        <w:pStyle w:val="FirstParagraph"/>
      </w:pPr>
      <w:r>
        <w:t xml:space="preserve">The P0 phase addresses the highest-confidence, highest-impact findings. Data shows that 90% of users churn if they do not experience value within the first week</w:t>
      </w:r>
      <w:r>
        <w:t xml:space="preserve"> </w:t>
      </w:r>
      <w:fldSimple w:instr="NOTEREF _Ref_Footnote_1 \h \f">
        <w:r>
          <w:rPr>
            <w:vertAlign w:val="superscript"/>
          </w:rPr>
          <w:t>1</w:t>
        </w:r>
      </w:fldSimple>
      <w:r>
        <w:t xml:space="preserve">, and perceived performance drives roughly 67% of satisfaction</w:t>
      </w:r>
      <w:r>
        <w:t xml:space="preserve"> </w:t>
      </w:r>
      <w:fldSimple w:instr="NOTEREF _Ref_Footnote_5 \h \f">
        <w:r>
          <w:rPr>
            <w:vertAlign w:val="superscript"/>
          </w:rPr>
          <w:t>5</w:t>
        </w:r>
      </w:fldSimple>
      <w:r>
        <w:t xml:space="preserve">. Skeleton screens reduce bounce rates by 9–20%</w:t>
      </w:r>
      <w:r>
        <w:t xml:space="preserve"> </w:t>
      </w:r>
      <w:fldSimple w:instr="NOTEREF _Ref_Footnote_12 \h \f">
        <w:r>
          <w:rPr>
            <w:vertAlign w:val="superscript"/>
          </w:rPr>
          <w:t>12</w:t>
        </w:r>
      </w:fldSimple>
      <w:r>
        <w:t xml:space="preserve">; for CRP Comply’s audit chain, Vault, and recipe library, these are retention-critical infrastructure, not cosmetic additions. Every data-fetching surface must display structural placeholders matching the final layout, implemented via the TanStack Query + Zustand + tRPC stack from Chapter 2.</w:t>
      </w:r>
    </w:p>
    <w:p>
      <w:pPr>
        <w:pStyle w:val="BodyText"/>
      </w:pPr>
      <w:r>
        <w:t xml:space="preserve">Streaming indicators address the</w:t>
      </w:r>
      <w:r>
        <w:t xml:space="preserve"> </w:t>
      </w:r>
      <w:r>
        <w:t xml:space="preserve">“</w:t>
      </w:r>
      <w:r>
        <w:t xml:space="preserve">silence problem</w:t>
      </w:r>
      <w:r>
        <w:t xml:space="preserve">”</w:t>
      </w:r>
      <w:r>
        <w:t xml:space="preserve"> </w:t>
      </w:r>
      <w:r>
        <w:t xml:space="preserve">identified in Chapter 6: users interpret pauses longer than two seconds without visible progress as system failure. Server-Sent Events (SSE) with the first-chunk pattern</w:t>
      </w:r>
      <w:r>
        <w:t xml:space="preserve"> </w:t>
      </w:r>
      <w:fldSimple w:instr="NOTEREF _Ref_Footnote_51 \h \f">
        <w:r>
          <w:rPr>
            <w:vertAlign w:val="superscript"/>
          </w:rPr>
          <w:t>51</w:t>
        </w:r>
      </w:fldSimple>
      <w:r>
        <w:t xml:space="preserve">must be deployed across all AI operations, with each reasoning step surfacing inline (</w:t>
      </w:r>
      <w:r>
        <w:t xml:space="preserve">“</w:t>
      </w:r>
      <w:r>
        <w:t xml:space="preserve">Checking EU AI Act Art. 6(2)…</w:t>
      </w:r>
      <w:r>
        <w:t xml:space="preserve">”</w:t>
      </w:r>
      <w:r>
        <w:t xml:space="preserve">) so that waiting becomes educational. Optimistic UI for compliance actions — marking a document submitted, approving a classification — provides immediate feedback before server confirmation, decoupling perceived responsiveness from latency</w:t>
      </w:r>
      <w:r>
        <w:t xml:space="preserve"> </w:t>
      </w:r>
      <w:fldSimple w:instr="NOTEREF _Ref_Footnote_9 \h \f">
        <w:r>
          <w:rPr>
            <w:vertAlign w:val="superscript"/>
          </w:rPr>
          <w:t>9</w:t>
        </w:r>
      </w:fldSimple>
      <w:r>
        <w:t xml:space="preserve">.</w:t>
      </w:r>
    </w:p>
    <w:p>
      <w:pPr>
        <w:pStyle w:val="BodyText"/>
      </w:pPr>
      <w:r>
        <w:t xml:space="preserve">The 60-second onboarding flow is the single most transformative feature. Cross-referencing Chapters 1, 7, and 11, the sequence is: progressive passkey enrolment → three-question survey → demo risk classification using pre-populated data → celebration moment (</w:t>
      </w:r>
      <w:r>
        <w:t xml:space="preserve">“</w:t>
      </w:r>
      <w:r>
        <w:t xml:space="preserve">You are 15% audit-ready</w:t>
      </w:r>
      <w:r>
        <w:t xml:space="preserve">”</w:t>
      </w:r>
      <w:r>
        <w:t xml:space="preserve">). The endowed progress effect increases task completion by 20% or more</w:t>
      </w:r>
      <w:r>
        <w:t xml:space="preserve"> </w:t>
      </w:r>
      <w:fldSimple w:instr="NOTEREF _Ref_Footnote_1 \h \f">
        <w:r>
          <w:rPr>
            <w:vertAlign w:val="superscript"/>
          </w:rPr>
          <w:t>1</w:t>
        </w:r>
      </w:fldSimple>
      <w:r>
        <w:t xml:space="preserve">. The CMD+K command palette implements the CLI-to-web bridge from Chapter 4, with the</w:t>
      </w:r>
      <w:r>
        <w:t xml:space="preserve"> </w:t>
      </w:r>
      <w:r>
        <w:rPr>
          <w:rStyle w:val="VerbatimChar"/>
        </w:rPr>
        <w:t xml:space="preserve">cmdk</w:t>
      </w:r>
      <w:r>
        <w:t xml:space="preserve"> </w:t>
      </w:r>
      <w:r>
        <w:t xml:space="preserve">library filtering 1,000 commands in under 5 ms</w:t>
      </w:r>
      <w:r>
        <w:t xml:space="preserve"> </w:t>
      </w:r>
      <w:fldSimple w:instr="NOTEREF _Ref_Footnote_15 \h \f">
        <w:r>
          <w:rPr>
            <w:vertAlign w:val="superscript"/>
          </w:rPr>
          <w:t>15</w:t>
        </w:r>
      </w:fldSimple>
      <w:r>
        <w:t xml:space="preserve">, well within the 50 ms threshold</w:t>
      </w:r>
      <w:r>
        <w:t xml:space="preserve"> </w:t>
      </w:r>
      <w:fldSimple w:instr="NOTEREF _Ref_Footnote_72 \h \f">
        <w:r>
          <w:rPr>
            <w:vertAlign w:val="superscript"/>
          </w:rPr>
          <w:t>72</w:t>
        </w:r>
      </w:fldSimple>
      <w:r>
        <w:t xml:space="preserve">.</w:t>
      </w:r>
    </w:p>
    <w:bookmarkEnd w:id="109"/>
    <w:bookmarkStart w:id="110" w:name="Xfc1d109fff36025db28b88ecb80a11197952d6b"/>
    <w:p>
      <w:pPr>
        <w:pStyle w:val="Heading3"/>
      </w:pPr>
      <w:r>
        <w:t xml:space="preserve">12.2 P1: Next Release (Weeks 5–8) — AI Trust &amp; Collaboration</w:t>
      </w:r>
    </w:p>
    <w:p>
      <w:pPr>
        <w:pStyle w:val="FirstParagraph"/>
      </w:pPr>
      <w:r>
        <w:t xml:space="preserve">P1 introduces the patterns that build sustained trust in AI-generated content. The autonomy dial (Chapter 6) offers three modes — Suggest Only, Draft for Review, and Autonomous — defaulting all new users to Suggest Only regardless of tier. Columbia University research confirms that interactive plans providing transparency and control over agent trajectories reduce safety concerns</w:t>
      </w:r>
      <w:r>
        <w:t xml:space="preserve"> </w:t>
      </w:r>
      <w:fldSimple w:instr="NOTEREF _Ref_Footnote_90 \h \f">
        <w:r>
          <w:rPr>
            <w:vertAlign w:val="superscript"/>
          </w:rPr>
          <w:t>90</w:t>
        </w:r>
      </w:fldSimple>
      <w:r>
        <w:t xml:space="preserve">. One-click de-escalation is always available to prevent reactance</w:t>
      </w:r>
      <w:r>
        <w:t xml:space="preserve"> </w:t>
      </w:r>
      <w:fldSimple w:instr="NOTEREF _Ref_Footnote_9 \h \f">
        <w:r>
          <w:rPr>
            <w:vertAlign w:val="superscript"/>
          </w:rPr>
          <w:t>9</w:t>
        </w:r>
      </w:fldSimple>
      <w:r>
        <w:t xml:space="preserve">.</w:t>
      </w:r>
    </w:p>
    <w:p>
      <w:pPr>
        <w:pStyle w:val="BodyText"/>
      </w:pPr>
      <w:r>
        <w:t xml:space="preserve">Intent preview before AI actions shows a structured plan before document generation (</w:t>
      </w:r>
      <w:r>
        <w:t xml:space="preserve">“</w:t>
      </w:r>
      <w:r>
        <w:t xml:space="preserve">I will: (1) scan your system description, (2) identify applicable articles, (3) generate draft with 12 sections…</w:t>
      </w:r>
      <w:r>
        <w:t xml:space="preserve">”</w:t>
      </w:r>
      <w:r>
        <w:t xml:space="preserve">). This Plan-and-Execute pattern</w:t>
      </w:r>
      <w:r>
        <w:t xml:space="preserve"> </w:t>
      </w:r>
      <w:fldSimple w:instr="NOTEREF _Ref_Footnote_97 \h \f">
        <w:r>
          <w:rPr>
            <w:vertAlign w:val="superscript"/>
          </w:rPr>
          <w:t>97</w:t>
        </w:r>
      </w:fldSimple>
      <w:r>
        <w:t xml:space="preserve">transforms black-box operations into collaborative workflows. Inline regulation citations with hover cards implement Perplexity’s layered trust pattern</w:t>
      </w:r>
      <w:r>
        <w:t xml:space="preserve"> </w:t>
      </w:r>
      <w:fldSimple w:instr="NOTEREF _Ref_Footnote_94 \h \f">
        <w:r>
          <w:rPr>
            <w:vertAlign w:val="superscript"/>
          </w:rPr>
          <w:t>94</w:t>
        </w:r>
      </w:fldSimple>
      <w:r>
        <w:t xml:space="preserve">: publisher-first chips inline, full source metadata on hover, and an audit sidebar for verification.</w:t>
      </w:r>
    </w:p>
    <w:p>
      <w:pPr>
        <w:pStyle w:val="BodyText"/>
      </w:pPr>
      <w:r>
        <w:t xml:space="preserve">Team workspaces and activity feeds activate the compliance network effect from Chapter 8. When a compliance officer shares an evidence pack with a security engineer, both become users; each additional member increases value for all. The seven-email onboarding sequence (14 days) targets non-activated users within the 72-hour window</w:t>
      </w:r>
      <w:r>
        <w:t xml:space="preserve"> </w:t>
      </w:r>
      <w:fldSimple w:instr="NOTEREF _Ref_Footnote_1 \h \f">
        <w:r>
          <w:rPr>
            <w:vertAlign w:val="superscript"/>
          </w:rPr>
          <w:t>1</w:t>
        </w:r>
      </w:fldSimple>
      <w:r>
        <w:t xml:space="preserve">.</w:t>
      </w:r>
    </w:p>
    <w:bookmarkEnd w:id="110"/>
    <w:bookmarkStart w:id="111" w:name="X957edfac3f6853d7f4b7987aca3fd026476fdea"/>
    <w:p>
      <w:pPr>
        <w:pStyle w:val="Heading3"/>
      </w:pPr>
      <w:r>
        <w:t xml:space="preserve">12.3 P2: Strategic (Weeks 9–12) — Scale &amp; Observability</w:t>
      </w:r>
    </w:p>
    <w:p>
      <w:pPr>
        <w:pStyle w:val="FirstParagraph"/>
      </w:pPr>
      <w:r>
        <w:t xml:space="preserve">P2 introduces the infrastructure to operate at scale. A feature flag system (Unleash, Apache 2.0; or GrowthBook, MIT) enables gradual rollout of AI features with kill switches for degraded experiences. OpenTelemetry instrumentation provides distributed tracing to diagnose regressions before they impact users. Real User Monitoring (RUM) with Core Web Vitals closes the loop on P0 investments — the team knows if TTFB exceeds targets before users complain.</w:t>
      </w:r>
    </w:p>
    <w:p>
      <w:pPr>
        <w:pStyle w:val="BodyText"/>
      </w:pPr>
      <w:r>
        <w:t xml:space="preserve">RBAC with five role levels (Viewer, Contributor, Compliance Officer, Admin, Owner) and multi-tenancy tier enforcement implement the model from Chapter 8: Row-Level Security (RLS) for Free/Starter, schema-per-tenant for Scale, and database-per-tenant for Enterprise</w:t>
      </w:r>
      <w:r>
        <w:t xml:space="preserve"> </w:t>
      </w:r>
      <w:fldSimple w:instr="NOTEREF _Ref_Footnote_150 \h \f">
        <w:r>
          <w:rPr>
            <w:vertAlign w:val="superscript"/>
          </w:rPr>
          <w:t>150</w:t>
        </w:r>
      </w:fldSimple>
      <w:r>
        <w:t xml:space="preserve">. The personalisation engine tailors recipe recommendations based on user behaviour and compliance framework preferences.</w:t>
      </w:r>
    </w:p>
    <w:bookmarkEnd w:id="111"/>
    <w:bookmarkStart w:id="112" w:name="X95308ae216020fc8a707269dd1e9c3726cffa59"/>
    <w:p>
      <w:pPr>
        <w:pStyle w:val="Heading3"/>
      </w:pPr>
      <w:r>
        <w:t xml:space="preserve">12.4 P3: Long-term (Weeks 13–20) — Intelligence &amp; Global Readiness</w:t>
      </w:r>
    </w:p>
    <w:p>
      <w:pPr>
        <w:pStyle w:val="FirstParagraph"/>
      </w:pPr>
      <w:r>
        <w:t xml:space="preserve">P3 builds compounding advantages. The AI feedback loop engine captures every user edit to AI-generated content — when a user changes</w:t>
      </w:r>
      <w:r>
        <w:t xml:space="preserve"> </w:t>
      </w:r>
      <w:r>
        <w:t xml:space="preserve">“</w:t>
      </w:r>
      <w:r>
        <w:t xml:space="preserve">High-risk</w:t>
      </w:r>
      <w:r>
        <w:t xml:space="preserve">”</w:t>
      </w:r>
      <w:r>
        <w:t xml:space="preserve"> </w:t>
      </w:r>
      <w:r>
        <w:t xml:space="preserve">to</w:t>
      </w:r>
      <w:r>
        <w:t xml:space="preserve"> </w:t>
      </w:r>
      <w:r>
        <w:t xml:space="preserve">“</w:t>
      </w:r>
      <w:r>
        <w:t xml:space="preserve">Limited-risk,</w:t>
      </w:r>
      <w:r>
        <w:t xml:space="preserve">”</w:t>
      </w:r>
      <w:r>
        <w:t xml:space="preserve"> </w:t>
      </w:r>
      <w:r>
        <w:t xml:space="preserve">the system acknowledges and adapts. This transforms corrections from wasted signals into personalised improvements, closing the feedback loop Chapter 1 identified as essential for engagement.</w:t>
      </w:r>
    </w:p>
    <w:p>
      <w:pPr>
        <w:pStyle w:val="BodyText"/>
      </w:pPr>
      <w:r>
        <w:t xml:space="preserve">The compliance network effect adds viral growth mechanics: one-click evidence sharing, team invitation loops, and upgrade prompts triggered by team size. Multi-region deployment for GDPR addresses data residency for European enterprise customers. Advanced analytics dashboards provide compliance readiness scoring. Enterprise Bring Your Own Key (BYOK) encryption closes the security differentiation loop from Chapter 4.</w:t>
      </w:r>
    </w:p>
    <w:bookmarkEnd w:id="112"/>
    <w:bookmarkStart w:id="116" w:name="implementation-roadmap-summary"/>
    <w:p>
      <w:pPr>
        <w:pStyle w:val="Heading3"/>
      </w:pPr>
      <w:r>
        <w:t xml:space="preserve">12.5 Implementation Roadmap Summary</w:t>
      </w:r>
    </w:p>
    <w:p>
      <w:pPr>
        <w:pStyle w:val="FirstParagraph"/>
      </w:pPr>
      <w:r>
        <w:t xml:space="preserve">The following table consolidates the four phases into a deliverable plan with timelines, primary dependencies, and cross-chapter references.</w:t>
      </w:r>
    </w:p>
    <w:tbl>
      <w:tblPr>
        <w:tblStyle w:val="Table"/>
        <w:tblW w:type="pct" w:w="5000"/>
        <w:tblLook w:firstRow="1" w:lastRow="0" w:firstColumn="0" w:lastColumn="0" w:noHBand="0" w:noVBand="0" w:val="0020"/>
      </w:tblPr>
      <w:tblGrid>
        <w:gridCol w:w="803"/>
        <w:gridCol w:w="1147"/>
        <w:gridCol w:w="1951"/>
        <w:gridCol w:w="1951"/>
        <w:gridCol w:w="206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c>
          <w:tcPr/>
          <w:p>
            <w:pPr>
              <w:pStyle w:val="Compact"/>
              <w:jc w:val="left"/>
            </w:pPr>
            <w:r>
              <w:t xml:space="preserve">Source Chapters</w:t>
            </w:r>
          </w:p>
        </w:tc>
        <w:tc>
          <w:tcPr/>
          <w:p>
            <w:pPr>
              <w:pStyle w:val="Compact"/>
              <w:jc w:val="left"/>
            </w:pPr>
            <w:r>
              <w:t xml:space="preserve">Success Criteria</w:t>
            </w:r>
          </w:p>
        </w:tc>
      </w:tr>
      <w:tr>
        <w:tc>
          <w:tcPr/>
          <w:p>
            <w:pPr>
              <w:pStyle w:val="Compact"/>
              <w:jc w:val="left"/>
            </w:pPr>
            <w:r>
              <w:t xml:space="preserve">P0: Immediate</w:t>
            </w:r>
          </w:p>
        </w:tc>
        <w:tc>
          <w:tcPr/>
          <w:p>
            <w:pPr>
              <w:pStyle w:val="Compact"/>
              <w:jc w:val="left"/>
            </w:pPr>
            <w:r>
              <w:t xml:space="preserve">Weeks 1–4</w:t>
            </w:r>
          </w:p>
        </w:tc>
        <w:tc>
          <w:tcPr/>
          <w:p>
            <w:pPr>
              <w:pStyle w:val="Compact"/>
              <w:jc w:val="left"/>
            </w:pPr>
            <w:r>
              <w:t xml:space="preserve">Skeleton screens (all data-fetching UI); SSE streaming with first-chunk pattern; optimistic UI for compliance actions; 60-second onboarding flow (passkey → demo classification → celebration); CMD+K command palette with recipe search</w:t>
            </w:r>
          </w:p>
        </w:tc>
        <w:tc>
          <w:tcPr/>
          <w:p>
            <w:pPr>
              <w:pStyle w:val="Compact"/>
              <w:jc w:val="left"/>
            </w:pPr>
            <w:r>
              <w:t xml:space="preserve">Ch1, Ch2, Ch4, Ch9, Ch11</w:t>
            </w:r>
          </w:p>
        </w:tc>
        <w:tc>
          <w:tcPr/>
          <w:p>
            <w:pPr>
              <w:pStyle w:val="Compact"/>
              <w:jc w:val="left"/>
            </w:pPr>
            <w:r>
              <w:t xml:space="preserve">TTFB &lt;100 ms; streaming first chunk &lt;500 ms; onboarding completion &gt;60%</w:t>
            </w:r>
          </w:p>
        </w:tc>
      </w:tr>
      <w:tr>
        <w:tc>
          <w:tcPr/>
          <w:p>
            <w:pPr>
              <w:pStyle w:val="Compact"/>
              <w:jc w:val="left"/>
            </w:pPr>
            <w:r>
              <w:t xml:space="preserve">P1: Next Release</w:t>
            </w:r>
          </w:p>
        </w:tc>
        <w:tc>
          <w:tcPr/>
          <w:p>
            <w:pPr>
              <w:pStyle w:val="Compact"/>
              <w:jc w:val="left"/>
            </w:pPr>
            <w:r>
              <w:t xml:space="preserve">Weeks 5–8</w:t>
            </w:r>
          </w:p>
        </w:tc>
        <w:tc>
          <w:tcPr/>
          <w:p>
            <w:pPr>
              <w:pStyle w:val="Compact"/>
              <w:jc w:val="left"/>
            </w:pPr>
            <w:r>
              <w:t xml:space="preserve">Autonomy dial (Suggest / Draft / Autonomous); intent preview before AI actions; inline regulation citations with hover cards; team workspace foundation + activity feeds; 7-email onboarding sequence (14 days)</w:t>
            </w:r>
          </w:p>
        </w:tc>
        <w:tc>
          <w:tcPr/>
          <w:p>
            <w:pPr>
              <w:pStyle w:val="Compact"/>
              <w:jc w:val="left"/>
            </w:pPr>
            <w:r>
              <w:t xml:space="preserve">Ch3, Ch6, Ch7, Ch10</w:t>
            </w:r>
          </w:p>
        </w:tc>
        <w:tc>
          <w:tcPr/>
          <w:p>
            <w:pPr>
              <w:pStyle w:val="Compact"/>
              <w:jc w:val="left"/>
            </w:pPr>
            <w:r>
              <w:t xml:space="preserve">AI action acceptance rate &gt;85%</w:t>
            </w:r>
            <w:r>
              <w:t xml:space="preserve"> </w:t>
            </w:r>
            <w:fldSimple w:instr="NOTEREF _Ref_Footnote_24 \h \f">
              <w:r>
                <w:rPr>
                  <w:vertAlign w:val="superscript"/>
                </w:rPr>
                <w:t>24</w:t>
              </w:r>
            </w:fldSimple>
            <w:r>
              <w:t xml:space="preserve">; team workspace activation &gt;30%</w:t>
            </w:r>
          </w:p>
        </w:tc>
      </w:tr>
      <w:tr>
        <w:tc>
          <w:tcPr/>
          <w:p>
            <w:pPr>
              <w:pStyle w:val="Compact"/>
              <w:jc w:val="left"/>
            </w:pPr>
            <w:r>
              <w:t xml:space="preserve">P2: Strategic</w:t>
            </w:r>
          </w:p>
        </w:tc>
        <w:tc>
          <w:tcPr/>
          <w:p>
            <w:pPr>
              <w:pStyle w:val="Compact"/>
              <w:jc w:val="left"/>
            </w:pPr>
            <w:r>
              <w:t xml:space="preserve">Weeks 9–12</w:t>
            </w:r>
          </w:p>
        </w:tc>
        <w:tc>
          <w:tcPr/>
          <w:p>
            <w:pPr>
              <w:pStyle w:val="Compact"/>
              <w:jc w:val="left"/>
            </w:pPr>
            <w:r>
              <w:t xml:space="preserve">Feature flag system (Unleash/GrowthBook); OpenTelemetry observability; RUM + Core Web Vitals; RBAC (5 role levels); multi-tenancy tier enforcement; advanced personalisation engine</w:t>
            </w:r>
          </w:p>
        </w:tc>
        <w:tc>
          <w:tcPr/>
          <w:p>
            <w:pPr>
              <w:pStyle w:val="Compact"/>
              <w:jc w:val="left"/>
            </w:pPr>
            <w:r>
              <w:t xml:space="preserve">Ch5, Ch8, Ch9</w:t>
            </w:r>
          </w:p>
        </w:tc>
        <w:tc>
          <w:tcPr/>
          <w:p>
            <w:pPr>
              <w:pStyle w:val="Compact"/>
              <w:jc w:val="left"/>
            </w:pPr>
            <w:r>
              <w:t xml:space="preserve">99.9% SLO; INP &lt;200 ms; feature flag coverage 100%</w:t>
            </w:r>
          </w:p>
        </w:tc>
      </w:tr>
      <w:tr>
        <w:tc>
          <w:tcPr/>
          <w:p>
            <w:pPr>
              <w:pStyle w:val="Compact"/>
              <w:jc w:val="left"/>
            </w:pPr>
            <w:r>
              <w:t xml:space="preserve">P3: Long-term</w:t>
            </w:r>
          </w:p>
        </w:tc>
        <w:tc>
          <w:tcPr/>
          <w:p>
            <w:pPr>
              <w:pStyle w:val="Compact"/>
              <w:jc w:val="left"/>
            </w:pPr>
            <w:r>
              <w:t xml:space="preserve">Weeks 13–20</w:t>
            </w:r>
          </w:p>
        </w:tc>
        <w:tc>
          <w:tcPr/>
          <w:p>
            <w:pPr>
              <w:pStyle w:val="Compact"/>
              <w:jc w:val="left"/>
            </w:pPr>
            <w:r>
              <w:t xml:space="preserve">AI feedback loop engine (learns from corrections); compliance network effect (viral growth); chaos engineering game days; multi-region deployment (GDPR); advanced analytics dashboard; enterprise BYOK encryption</w:t>
            </w:r>
          </w:p>
        </w:tc>
        <w:tc>
          <w:tcPr/>
          <w:p>
            <w:pPr>
              <w:pStyle w:val="Compact"/>
              <w:jc w:val="left"/>
            </w:pPr>
            <w:r>
              <w:t xml:space="preserve">Ch1, Ch7, Ch8</w:t>
            </w:r>
          </w:p>
        </w:tc>
        <w:tc>
          <w:tcPr/>
          <w:p>
            <w:pPr>
              <w:pStyle w:val="Compact"/>
              <w:jc w:val="left"/>
            </w:pPr>
            <w:r>
              <w:t xml:space="preserve">Recovery satisfaction &gt;4.5/5; NPS &gt;40; DAU/MAU &gt;30%</w:t>
            </w:r>
          </w:p>
        </w:tc>
      </w:tr>
    </w:tbl>
    <w:p>
      <w:pPr>
        <w:pStyle w:val="BodyText"/>
      </w:pPr>
      <w:r>
        <w:t xml:space="preserve">The table above links each deliverable to the research chapters that justify its priority. P0 items address the</w:t>
      </w:r>
      <w:r>
        <w:t xml:space="preserve"> </w:t>
      </w:r>
      <w:r>
        <w:t xml:space="preserve">“</w:t>
      </w:r>
      <w:r>
        <w:t xml:space="preserve">silence problem</w:t>
      </w:r>
      <w:r>
        <w:t xml:space="preserve">”</w:t>
      </w:r>
      <w:r>
        <w:t xml:space="preserve"> </w:t>
      </w:r>
      <w:r>
        <w:t xml:space="preserve">and the 72-hour activation window; P1 builds the trust architecture for AI acceptance; P2 prepares the platform for enterprise scale; P3 creates compounding competitive moats. The Gantt chart in Figure 12.1 visualises task sequencing across the 20-week timeline, with milestone gates at Weeks 4, 8, 12, and 20 marking the transition between phases.</w:t>
      </w:r>
    </w:p>
    <w:p>
      <w:pPr>
        <w:pStyle w:val="CaptionedFigure"/>
      </w:pPr>
      <w:r>
        <w:drawing>
          <wp:inline>
            <wp:extent cx="5334000" cy="3540080"/>
            <wp:effectExtent b="0" l="0" r="0" t="0"/>
            <wp:docPr descr="CRP Comply Implementation Roadmap — 20-Week Timeline" title="" id="114" name="Picture"/>
            <a:graphic>
              <a:graphicData uri="http://schemas.openxmlformats.org/drawingml/2006/picture">
                <pic:pic>
                  <pic:nvPicPr>
                    <pic:cNvPr descr="fig_roadmap_timeline.png" id="115" name="Picture"/>
                    <pic:cNvPicPr>
                      <a:picLocks noChangeArrowheads="1" noChangeAspect="1"/>
                    </pic:cNvPicPr>
                  </pic:nvPicPr>
                  <pic:blipFill>
                    <a:blip r:embed="rId113"/>
                    <a:stretch>
                      <a:fillRect/>
                    </a:stretch>
                  </pic:blipFill>
                  <pic:spPr bwMode="auto">
                    <a:xfrm>
                      <a:off x="0" y="0"/>
                      <a:ext cx="5334000" cy="3540080"/>
                    </a:xfrm>
                    <a:prstGeom prst="rect">
                      <a:avLst/>
                    </a:prstGeom>
                    <a:noFill/>
                    <a:ln w="9525">
                      <a:noFill/>
                      <a:headEnd/>
                      <a:tailEnd/>
                    </a:ln>
                  </pic:spPr>
                </pic:pic>
              </a:graphicData>
            </a:graphic>
          </wp:inline>
        </w:drawing>
      </w:r>
    </w:p>
    <w:p>
      <w:pPr>
        <w:pStyle w:val="ImageCaption"/>
      </w:pPr>
      <w:r>
        <w:t xml:space="preserve">CRP Comply Implementation Roadmap — 20-Week Timeline</w:t>
      </w:r>
    </w:p>
    <w:p>
      <w:pPr>
        <w:pStyle w:val="BodyText"/>
      </w:pPr>
      <w:r>
        <w:rPr>
          <w:iCs/>
          <w:i/>
        </w:rPr>
        <w:t xml:space="preserve">Figure 12.1: Gantt-style implementation timeline showing task distribution across four phases. Milestones M1–M4 represent phase-completion gates with defined success criteria. The SLATE colour gradient differentiates phases by priority, with darker tones indicating higher-priority items.</w:t>
      </w:r>
    </w:p>
    <w:bookmarkEnd w:id="116"/>
    <w:bookmarkStart w:id="117" w:name="success-metrics-kpi-dashboard"/>
    <w:p>
      <w:pPr>
        <w:pStyle w:val="Heading3"/>
      </w:pPr>
      <w:r>
        <w:t xml:space="preserve">12.6 Success Metrics &amp; KPI Dashboard</w:t>
      </w:r>
    </w:p>
    <w:p>
      <w:pPr>
        <w:pStyle w:val="FirstParagraph"/>
      </w:pPr>
      <w:r>
        <w:t xml:space="preserve">The 20-week roadmap requires continuous measurement against quantified targets. The following dashboard defines 13 KPIs across four dimensions — performance, UX, engagement, and trust — each with a target derived from the research base.</w:t>
      </w:r>
    </w:p>
    <w:tbl>
      <w:tblPr>
        <w:tblStyle w:val="Table"/>
        <w:tblW w:type="pct" w:w="5000"/>
        <w:tblLook w:firstRow="1" w:lastRow="0" w:firstColumn="0" w:lastColumn="0" w:noHBand="0" w:noVBand="0" w:val="0020"/>
      </w:tblPr>
      <w:tblGrid>
        <w:gridCol w:w="1708"/>
        <w:gridCol w:w="776"/>
        <w:gridCol w:w="1242"/>
        <w:gridCol w:w="2950"/>
        <w:gridCol w:w="1242"/>
      </w:tblGrid>
      <w:tr>
        <w:trPr>
          <w:tblHeader w:val="true"/>
        </w:trPr>
        <w:tc>
          <w:tcPr/>
          <w:p>
            <w:pPr>
              <w:pStyle w:val="Compact"/>
              <w:jc w:val="left"/>
            </w:pPr>
            <w:r>
              <w:t xml:space="preserve">Dimension</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Source</w:t>
            </w:r>
          </w:p>
        </w:tc>
      </w:tr>
      <w:tr>
        <w:tc>
          <w:tcPr/>
          <w:p>
            <w:pPr>
              <w:pStyle w:val="Compact"/>
              <w:jc w:val="left"/>
            </w:pPr>
            <w:r>
              <w:t xml:space="preserve">Performance</w:t>
            </w:r>
          </w:p>
        </w:tc>
        <w:tc>
          <w:tcPr/>
          <w:p>
            <w:pPr>
              <w:pStyle w:val="Compact"/>
              <w:jc w:val="left"/>
            </w:pPr>
            <w:r>
              <w:t xml:space="preserve">TTFB (Time to First Byte)</w:t>
            </w:r>
          </w:p>
        </w:tc>
        <w:tc>
          <w:tcPr/>
          <w:p>
            <w:pPr>
              <w:pStyle w:val="Compact"/>
              <w:jc w:val="left"/>
            </w:pPr>
            <w:r>
              <w:t xml:space="preserve">&lt;100 ms</w:t>
            </w:r>
          </w:p>
        </w:tc>
        <w:tc>
          <w:tcPr/>
          <w:p>
            <w:pPr>
              <w:pStyle w:val="Compact"/>
              <w:jc w:val="left"/>
            </w:pPr>
            <w:r>
              <w:t xml:space="preserve">Synthetic monitoring + RUM</w:t>
            </w:r>
          </w:p>
        </w:tc>
        <w:tc>
          <w:tcPr/>
          <w:p>
            <w:pPr>
              <w:pStyle w:val="Compact"/>
              <w:jc w:val="left"/>
            </w:pPr>
            <w:r>
              <w:t xml:space="preserve">Ch2, Ch5</w:t>
            </w:r>
          </w:p>
        </w:tc>
      </w:tr>
      <w:tr>
        <w:tc>
          <w:tcPr/>
          <w:p>
            <w:pPr>
              <w:pStyle w:val="Compact"/>
              <w:jc w:val="left"/>
            </w:pPr>
            <w:r>
              <w:t xml:space="preserve">Performance</w:t>
            </w:r>
          </w:p>
        </w:tc>
        <w:tc>
          <w:tcPr/>
          <w:p>
            <w:pPr>
              <w:pStyle w:val="Compact"/>
              <w:jc w:val="left"/>
            </w:pPr>
            <w:r>
              <w:t xml:space="preserve">INP (Interaction to Next Paint)</w:t>
            </w:r>
          </w:p>
        </w:tc>
        <w:tc>
          <w:tcPr/>
          <w:p>
            <w:pPr>
              <w:pStyle w:val="Compact"/>
              <w:jc w:val="left"/>
            </w:pPr>
            <w:r>
              <w:t xml:space="preserve">&lt;200 ms</w:t>
            </w:r>
          </w:p>
        </w:tc>
        <w:tc>
          <w:tcPr/>
          <w:p>
            <w:pPr>
              <w:pStyle w:val="Compact"/>
              <w:jc w:val="left"/>
            </w:pPr>
            <w:r>
              <w:t xml:space="preserve">Core Web Vitals (RUM)</w:t>
            </w:r>
          </w:p>
        </w:tc>
        <w:tc>
          <w:tcPr/>
          <w:p>
            <w:pPr>
              <w:pStyle w:val="Compact"/>
              <w:jc w:val="left"/>
            </w:pPr>
            <w:r>
              <w:t xml:space="preserve">Ch2, Ch5</w:t>
            </w:r>
          </w:p>
        </w:tc>
      </w:tr>
      <w:tr>
        <w:tc>
          <w:tcPr/>
          <w:p>
            <w:pPr>
              <w:pStyle w:val="Compact"/>
              <w:jc w:val="left"/>
            </w:pPr>
            <w:r>
              <w:t xml:space="preserve">Performance</w:t>
            </w:r>
          </w:p>
        </w:tc>
        <w:tc>
          <w:tcPr/>
          <w:p>
            <w:pPr>
              <w:pStyle w:val="Compact"/>
              <w:jc w:val="left"/>
            </w:pPr>
            <w:r>
              <w:t xml:space="preserve">AI first-chunk latency</w:t>
            </w:r>
          </w:p>
        </w:tc>
        <w:tc>
          <w:tcPr/>
          <w:p>
            <w:pPr>
              <w:pStyle w:val="Compact"/>
              <w:jc w:val="left"/>
            </w:pPr>
            <w:r>
              <w:t xml:space="preserve">&lt;500 ms</w:t>
            </w:r>
          </w:p>
        </w:tc>
        <w:tc>
          <w:tcPr/>
          <w:p>
            <w:pPr>
              <w:pStyle w:val="Compact"/>
              <w:jc w:val="left"/>
            </w:pPr>
            <w:r>
              <w:t xml:space="preserve">OpenTelemetry trace duration</w:t>
            </w:r>
          </w:p>
        </w:tc>
        <w:tc>
          <w:tcPr/>
          <w:p>
            <w:pPr>
              <w:pStyle w:val="Compact"/>
              <w:jc w:val="left"/>
            </w:pPr>
            <w:r>
              <w:t xml:space="preserve">Ch2, Ch6</w:t>
            </w:r>
          </w:p>
        </w:tc>
      </w:tr>
      <w:tr>
        <w:tc>
          <w:tcPr/>
          <w:p>
            <w:pPr>
              <w:pStyle w:val="Compact"/>
              <w:jc w:val="left"/>
            </w:pPr>
            <w:r>
              <w:t xml:space="preserve">Performance</w:t>
            </w:r>
          </w:p>
        </w:tc>
        <w:tc>
          <w:tcPr/>
          <w:p>
            <w:pPr>
              <w:pStyle w:val="Compact"/>
              <w:jc w:val="left"/>
            </w:pPr>
            <w:r>
              <w:t xml:space="preserve">Skeleton screen coverage</w:t>
            </w:r>
          </w:p>
        </w:tc>
        <w:tc>
          <w:tcPr/>
          <w:p>
            <w:pPr>
              <w:pStyle w:val="Compact"/>
              <w:jc w:val="left"/>
            </w:pPr>
            <w:r>
              <w:t xml:space="preserve">100% of data-fetching UI</w:t>
            </w:r>
          </w:p>
        </w:tc>
        <w:tc>
          <w:tcPr/>
          <w:p>
            <w:pPr>
              <w:pStyle w:val="Compact"/>
              <w:jc w:val="left"/>
            </w:pPr>
            <w:r>
              <w:t xml:space="preserve">Visual regression testing</w:t>
            </w:r>
          </w:p>
        </w:tc>
        <w:tc>
          <w:tcPr/>
          <w:p>
            <w:pPr>
              <w:pStyle w:val="Compact"/>
              <w:jc w:val="left"/>
            </w:pPr>
            <w:r>
              <w:t xml:space="preserve">Ch2</w:t>
            </w:r>
          </w:p>
        </w:tc>
      </w:tr>
      <w:tr>
        <w:tc>
          <w:tcPr/>
          <w:p>
            <w:pPr>
              <w:pStyle w:val="Compact"/>
              <w:jc w:val="left"/>
            </w:pPr>
            <w:r>
              <w:t xml:space="preserve">UX</w:t>
            </w:r>
          </w:p>
        </w:tc>
        <w:tc>
          <w:tcPr/>
          <w:p>
            <w:pPr>
              <w:pStyle w:val="Compact"/>
              <w:jc w:val="left"/>
            </w:pPr>
            <w:r>
              <w:t xml:space="preserve">Activation rate (first compliance win within 72 h)</w:t>
            </w:r>
          </w:p>
        </w:tc>
        <w:tc>
          <w:tcPr/>
          <w:p>
            <w:pPr>
              <w:pStyle w:val="Compact"/>
              <w:jc w:val="left"/>
            </w:pPr>
            <w:r>
              <w:t xml:space="preserve">&gt;50%</w:t>
            </w:r>
          </w:p>
        </w:tc>
        <w:tc>
          <w:tcPr/>
          <w:p>
            <w:pPr>
              <w:pStyle w:val="Compact"/>
              <w:jc w:val="left"/>
            </w:pPr>
            <w:r>
              <w:t xml:space="preserve">Product analytics funnel</w:t>
            </w:r>
          </w:p>
        </w:tc>
        <w:tc>
          <w:tcPr/>
          <w:p>
            <w:pPr>
              <w:pStyle w:val="Compact"/>
              <w:jc w:val="left"/>
            </w:pPr>
            <w:r>
              <w:t xml:space="preserve">Ch11</w:t>
            </w:r>
            <w:r>
              <w:t xml:space="preserve"> </w:t>
            </w:r>
            <w:fldSimple w:instr="NOTEREF _Ref_Footnote_1 \h \f">
              <w:r>
                <w:rPr>
                  <w:vertAlign w:val="superscript"/>
                </w:rPr>
                <w:t>1</w:t>
              </w:r>
            </w:fldSimple>
          </w:p>
        </w:tc>
      </w:tr>
      <w:tr>
        <w:tc>
          <w:tcPr/>
          <w:p>
            <w:pPr>
              <w:pStyle w:val="Compact"/>
              <w:jc w:val="left"/>
            </w:pPr>
            <w:r>
              <w:t xml:space="preserve">UX</w:t>
            </w:r>
          </w:p>
        </w:tc>
        <w:tc>
          <w:tcPr/>
          <w:p>
            <w:pPr>
              <w:pStyle w:val="Compact"/>
              <w:jc w:val="left"/>
            </w:pPr>
            <w:r>
              <w:t xml:space="preserve">Onboarding completion (60-second flow)</w:t>
            </w:r>
          </w:p>
        </w:tc>
        <w:tc>
          <w:tcPr/>
          <w:p>
            <w:pPr>
              <w:pStyle w:val="Compact"/>
              <w:jc w:val="left"/>
            </w:pPr>
            <w:r>
              <w:t xml:space="preserve">&gt;60%</w:t>
            </w:r>
          </w:p>
        </w:tc>
        <w:tc>
          <w:tcPr/>
          <w:p>
            <w:pPr>
              <w:pStyle w:val="Compact"/>
              <w:jc w:val="left"/>
            </w:pPr>
            <w:r>
              <w:t xml:space="preserve">Event tracking</w:t>
            </w:r>
          </w:p>
        </w:tc>
        <w:tc>
          <w:tcPr/>
          <w:p>
            <w:pPr>
              <w:pStyle w:val="Compact"/>
              <w:jc w:val="left"/>
            </w:pPr>
            <w:r>
              <w:t xml:space="preserve">Ch11</w:t>
            </w:r>
          </w:p>
        </w:tc>
      </w:tr>
      <w:tr>
        <w:tc>
          <w:tcPr/>
          <w:p>
            <w:pPr>
              <w:pStyle w:val="Compact"/>
              <w:jc w:val="left"/>
            </w:pPr>
            <w:r>
              <w:t xml:space="preserve">UX</w:t>
            </w:r>
          </w:p>
        </w:tc>
        <w:tc>
          <w:tcPr/>
          <w:p>
            <w:pPr>
              <w:pStyle w:val="Compact"/>
              <w:jc w:val="left"/>
            </w:pPr>
            <w:r>
              <w:t xml:space="preserve">Net Promoter Score (NPS)</w:t>
            </w:r>
          </w:p>
        </w:tc>
        <w:tc>
          <w:tcPr/>
          <w:p>
            <w:pPr>
              <w:pStyle w:val="Compact"/>
              <w:jc w:val="left"/>
            </w:pPr>
            <w:r>
              <w:t xml:space="preserve">&gt;40</w:t>
            </w:r>
          </w:p>
        </w:tc>
        <w:tc>
          <w:tcPr/>
          <w:p>
            <w:pPr>
              <w:pStyle w:val="Compact"/>
              <w:jc w:val="left"/>
            </w:pPr>
            <w:r>
              <w:t xml:space="preserve">Quarterly survey</w:t>
            </w:r>
          </w:p>
        </w:tc>
        <w:tc>
          <w:tcPr/>
          <w:p>
            <w:pPr>
              <w:pStyle w:val="Compact"/>
              <w:jc w:val="left"/>
            </w:pPr>
            <w:r>
              <w:t xml:space="preserve">Ch7</w:t>
            </w:r>
          </w:p>
        </w:tc>
      </w:tr>
      <w:tr>
        <w:tc>
          <w:tcPr/>
          <w:p>
            <w:pPr>
              <w:pStyle w:val="Compact"/>
              <w:jc w:val="left"/>
            </w:pPr>
            <w:r>
              <w:t xml:space="preserve">Engagement</w:t>
            </w:r>
          </w:p>
        </w:tc>
        <w:tc>
          <w:tcPr/>
          <w:p>
            <w:pPr>
              <w:pStyle w:val="Compact"/>
              <w:jc w:val="left"/>
            </w:pPr>
            <w:r>
              <w:t xml:space="preserve">DAU/MAU ratio</w:t>
            </w:r>
          </w:p>
        </w:tc>
        <w:tc>
          <w:tcPr/>
          <w:p>
            <w:pPr>
              <w:pStyle w:val="Compact"/>
              <w:jc w:val="left"/>
            </w:pPr>
            <w:r>
              <w:t xml:space="preserve">&gt;30%</w:t>
            </w:r>
          </w:p>
        </w:tc>
        <w:tc>
          <w:tcPr/>
          <w:p>
            <w:pPr>
              <w:pStyle w:val="Compact"/>
              <w:jc w:val="left"/>
            </w:pPr>
            <w:r>
              <w:t xml:space="preserve">Product analytics</w:t>
            </w:r>
          </w:p>
        </w:tc>
        <w:tc>
          <w:tcPr/>
          <w:p>
            <w:pPr>
              <w:pStyle w:val="Compact"/>
              <w:jc w:val="left"/>
            </w:pPr>
            <w:r>
              <w:t xml:space="preserve">Ch1</w:t>
            </w:r>
          </w:p>
        </w:tc>
      </w:tr>
      <w:tr>
        <w:tc>
          <w:tcPr/>
          <w:p>
            <w:pPr>
              <w:pStyle w:val="Compact"/>
              <w:jc w:val="left"/>
            </w:pPr>
            <w:r>
              <w:t xml:space="preserve">Engagement</w:t>
            </w:r>
          </w:p>
        </w:tc>
        <w:tc>
          <w:tcPr/>
          <w:p>
            <w:pPr>
              <w:pStyle w:val="Compact"/>
              <w:jc w:val="left"/>
            </w:pPr>
            <w:r>
              <w:t xml:space="preserve">CMD+K daily active users</w:t>
            </w:r>
          </w:p>
        </w:tc>
        <w:tc>
          <w:tcPr/>
          <w:p>
            <w:pPr>
              <w:pStyle w:val="Compact"/>
              <w:jc w:val="left"/>
            </w:pPr>
            <w:r>
              <w:t xml:space="preserve">&gt;25% of DAU</w:t>
            </w:r>
          </w:p>
        </w:tc>
        <w:tc>
          <w:tcPr/>
          <w:p>
            <w:pPr>
              <w:pStyle w:val="Compact"/>
              <w:jc w:val="left"/>
            </w:pPr>
            <w:r>
              <w:t xml:space="preserve">Event tracking</w:t>
            </w:r>
          </w:p>
        </w:tc>
        <w:tc>
          <w:tcPr/>
          <w:p>
            <w:pPr>
              <w:pStyle w:val="Compact"/>
              <w:jc w:val="left"/>
            </w:pPr>
            <w:r>
              <w:t xml:space="preserve">Ch4</w:t>
            </w:r>
          </w:p>
        </w:tc>
      </w:tr>
      <w:tr>
        <w:tc>
          <w:tcPr/>
          <w:p>
            <w:pPr>
              <w:pStyle w:val="Compact"/>
              <w:jc w:val="left"/>
            </w:pPr>
            <w:r>
              <w:t xml:space="preserve">Engagement</w:t>
            </w:r>
          </w:p>
        </w:tc>
        <w:tc>
          <w:tcPr/>
          <w:p>
            <w:pPr>
              <w:pStyle w:val="Compact"/>
              <w:jc w:val="left"/>
            </w:pPr>
            <w:r>
              <w:t xml:space="preserve">Recipe execution rate (per active user)</w:t>
            </w:r>
          </w:p>
        </w:tc>
        <w:tc>
          <w:tcPr/>
          <w:p>
            <w:pPr>
              <w:pStyle w:val="Compact"/>
              <w:jc w:val="left"/>
            </w:pPr>
            <w:r>
              <w:t xml:space="preserve">&gt;3/week</w:t>
            </w:r>
          </w:p>
        </w:tc>
        <w:tc>
          <w:tcPr/>
          <w:p>
            <w:pPr>
              <w:pStyle w:val="Compact"/>
              <w:jc w:val="left"/>
            </w:pPr>
            <w:r>
              <w:t xml:space="preserve">Product analytics</w:t>
            </w:r>
          </w:p>
        </w:tc>
        <w:tc>
          <w:tcPr/>
          <w:p>
            <w:pPr>
              <w:pStyle w:val="Compact"/>
              <w:jc w:val="left"/>
            </w:pPr>
            <w:r>
              <w:t xml:space="preserve">Ch6</w:t>
            </w:r>
          </w:p>
        </w:tc>
      </w:tr>
      <w:tr>
        <w:tc>
          <w:tcPr/>
          <w:p>
            <w:pPr>
              <w:pStyle w:val="Compact"/>
              <w:jc w:val="left"/>
            </w:pPr>
            <w:r>
              <w:t xml:space="preserve">Trust</w:t>
            </w:r>
          </w:p>
        </w:tc>
        <w:tc>
          <w:tcPr/>
          <w:p>
            <w:pPr>
              <w:pStyle w:val="Compact"/>
              <w:jc w:val="left"/>
            </w:pPr>
            <w:r>
              <w:t xml:space="preserve">AI reversion rate (undo/regenerate)</w:t>
            </w:r>
          </w:p>
        </w:tc>
        <w:tc>
          <w:tcPr/>
          <w:p>
            <w:pPr>
              <w:pStyle w:val="Compact"/>
              <w:jc w:val="left"/>
            </w:pPr>
            <w:r>
              <w:t xml:space="preserve">&lt;5%</w:t>
            </w:r>
          </w:p>
        </w:tc>
        <w:tc>
          <w:tcPr/>
          <w:p>
            <w:pPr>
              <w:pStyle w:val="Compact"/>
              <w:jc w:val="left"/>
            </w:pPr>
            <w:r>
              <w:t xml:space="preserve">AI action audit log</w:t>
            </w:r>
          </w:p>
        </w:tc>
        <w:tc>
          <w:tcPr/>
          <w:p>
            <w:pPr>
              <w:pStyle w:val="Compact"/>
              <w:jc w:val="left"/>
            </w:pPr>
            <w:r>
              <w:t xml:space="preserve">Ch6</w:t>
            </w:r>
          </w:p>
        </w:tc>
      </w:tr>
      <w:tr>
        <w:tc>
          <w:tcPr/>
          <w:p>
            <w:pPr>
              <w:pStyle w:val="Compact"/>
              <w:jc w:val="left"/>
            </w:pPr>
            <w:r>
              <w:t xml:space="preserve">Trust</w:t>
            </w:r>
          </w:p>
        </w:tc>
        <w:tc>
          <w:tcPr/>
          <w:p>
            <w:pPr>
              <w:pStyle w:val="Compact"/>
              <w:jc w:val="left"/>
            </w:pPr>
            <w:r>
              <w:t xml:space="preserve">Recovery satisfaction score</w:t>
            </w:r>
          </w:p>
        </w:tc>
        <w:tc>
          <w:tcPr/>
          <w:p>
            <w:pPr>
              <w:pStyle w:val="Compact"/>
              <w:jc w:val="left"/>
            </w:pPr>
            <w:r>
              <w:t xml:space="preserve">&gt;4.5/5</w:t>
            </w:r>
          </w:p>
        </w:tc>
        <w:tc>
          <w:tcPr/>
          <w:p>
            <w:pPr>
              <w:pStyle w:val="Compact"/>
              <w:jc w:val="left"/>
            </w:pPr>
            <w:r>
              <w:t xml:space="preserve">Post-incident micro-survey</w:t>
            </w:r>
          </w:p>
        </w:tc>
        <w:tc>
          <w:tcPr/>
          <w:p>
            <w:pPr>
              <w:pStyle w:val="Compact"/>
              <w:jc w:val="left"/>
            </w:pPr>
            <w:r>
              <w:t xml:space="preserve">Ch12</w:t>
            </w:r>
            <w:r>
              <w:t xml:space="preserve"> </w:t>
            </w:r>
            <w:fldSimple w:instr="NOTEREF _Ref_Footnote_228 \h \f">
              <w:r>
                <w:rPr>
                  <w:vertAlign w:val="superscript"/>
                </w:rPr>
                <w:t>228</w:t>
              </w:r>
            </w:fldSimple>
          </w:p>
        </w:tc>
      </w:tr>
      <w:tr>
        <w:tc>
          <w:tcPr/>
          <w:p>
            <w:pPr>
              <w:pStyle w:val="Compact"/>
              <w:jc w:val="left"/>
            </w:pPr>
            <w:r>
              <w:t xml:space="preserve">Trust</w:t>
            </w:r>
          </w:p>
        </w:tc>
        <w:tc>
          <w:tcPr/>
          <w:p>
            <w:pPr>
              <w:pStyle w:val="Compact"/>
              <w:jc w:val="left"/>
            </w:pPr>
            <w:r>
              <w:t xml:space="preserve">Security trust signal engagement</w:t>
            </w:r>
          </w:p>
        </w:tc>
        <w:tc>
          <w:tcPr/>
          <w:p>
            <w:pPr>
              <w:pStyle w:val="Compact"/>
              <w:jc w:val="left"/>
            </w:pPr>
            <w:r>
              <w:t xml:space="preserve">&gt;40% click-through</w:t>
            </w:r>
          </w:p>
        </w:tc>
        <w:tc>
          <w:tcPr/>
          <w:p>
            <w:pPr>
              <w:pStyle w:val="Compact"/>
              <w:jc w:val="left"/>
            </w:pPr>
            <w:r>
              <w:t xml:space="preserve">UI interaction analytics</w:t>
            </w:r>
          </w:p>
        </w:tc>
        <w:tc>
          <w:tcPr/>
          <w:p>
            <w:pPr>
              <w:pStyle w:val="Compact"/>
              <w:jc w:val="left"/>
            </w:pPr>
            <w:r>
              <w:t xml:space="preserve">Ch4, Ch9</w:t>
            </w:r>
          </w:p>
        </w:tc>
      </w:tr>
    </w:tbl>
    <w:p>
      <w:pPr>
        <w:pStyle w:val="BodyText"/>
      </w:pPr>
      <w:r>
        <w:t xml:space="preserve">The performance targets reflect the finding that perceived performance drives 67% of satisfaction</w:t>
      </w:r>
      <w:r>
        <w:t xml:space="preserve"> </w:t>
      </w:r>
      <w:fldSimple w:instr="NOTEREF _Ref_Footnote_5 \h \f">
        <w:r>
          <w:rPr>
            <w:vertAlign w:val="superscript"/>
          </w:rPr>
          <w:t>5</w:t>
        </w:r>
      </w:fldSimple>
      <w:r>
        <w:t xml:space="preserve">. TTFB below 100 ms places CRP Comply in the top decile of web applications; the INP ceiling of 200 ms ensures every interaction receives feedback within the perceptual threshold for instantaneous response.</w:t>
      </w:r>
    </w:p>
    <w:p>
      <w:pPr>
        <w:pStyle w:val="BodyText"/>
      </w:pPr>
      <w:r>
        <w:t xml:space="preserve">The UX dimension focuses on activation. The 50% activation rate target compares favourably against the 37.5% average SaaS activation rate</w:t>
      </w:r>
      <w:r>
        <w:t xml:space="preserve"> </w:t>
      </w:r>
      <w:fldSimple w:instr="NOTEREF _Ref_Footnote_3 \h \f">
        <w:r>
          <w:rPr>
            <w:vertAlign w:val="superscript"/>
          </w:rPr>
          <w:t>3</w:t>
        </w:r>
      </w:fldSimple>
      <w:r>
        <w:t xml:space="preserve">, while remaining achievable for complex B2B software. Engagement metrics validate that P1 collaboration features and P3 network effects drive habitual use: DAU/MAU above 30% indicates weekly return, the threshold for habit formation identified in Chapter 1. CMD+K usage above 25% of DAU validates the CLI-to-web bridge from Chapter 4.</w:t>
      </w:r>
    </w:p>
    <w:p>
      <w:pPr>
        <w:pStyle w:val="BodyText"/>
      </w:pPr>
      <w:r>
        <w:t xml:space="preserve">Trust metrics are the most distinctive dimension. The AI reversion rate below 5% indicates that the autonomy dial, intent preview, and citation layers from Chapter 6 are working in concert. Recovery satisfaction above 4.5/5 leverages the service recovery paradox from Chapter 12: well-handled errors can increase loyalty beyond flawless execution</w:t>
      </w:r>
      <w:r>
        <w:t xml:space="preserve"> </w:t>
      </w:r>
      <w:fldSimple w:instr="NOTEREF _Ref_Footnote_228 \h \f">
        <w:r>
          <w:rPr>
            <w:vertAlign w:val="superscript"/>
          </w:rPr>
          <w:t>228</w:t>
        </w:r>
      </w:fldSimple>
      <w:r>
        <w:t xml:space="preserve">. Security trust signal engagement above 40% validates the</w:t>
      </w:r>
      <w:r>
        <w:t xml:space="preserve"> </w:t>
      </w:r>
      <w:r>
        <w:t xml:space="preserve">“</w:t>
      </w:r>
      <w:r>
        <w:t xml:space="preserve">trust velocity</w:t>
      </w:r>
      <w:r>
        <w:t xml:space="preserve">”</w:t>
      </w:r>
      <w:r>
        <w:t xml:space="preserve"> </w:t>
      </w:r>
      <w:r>
        <w:t xml:space="preserve">hypothesis from Chapter 9.</w:t>
      </w:r>
    </w:p>
    <w:p>
      <w:pPr>
        <w:pStyle w:val="BodyText"/>
      </w:pPr>
      <w:r>
        <w:t xml:space="preserve">The four milestones in Figure 12.1 serve as formal phase gates. M1 (Week 4) requires all P0 items to pass their success criteria; M2 (Week 8) validates AI trust patterns; M3 (Week 12) confirms enterprise readiness through security audit and SLO demonstration; M4 (Week 20) measures compounding engagement against the full KPI dashboard. This structured approach ensures that eleven chapters of research translate into measurable product improvements — and that the engineering team always knows what to build next.</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Loyalty Customer Experience. https://loyalty.cx/saas-onboarding-optimization/</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SmartSuite. https://www.smartsuite.com/blog/drata-pricing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strivecloud.io. https://strivecloud.io/blog/increase-user-activation-gamified</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descope.com. https://www.descope.com/blog/post/passkey-trends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Pravin Kumar. https://www.pravinkumar.co/blog/skeleton-screens-vs-page-loaders-webflow-design-2026</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SecureLeap. https://www.secureleap.tech/blog/drata-review-pricing-top-alternatives-for-compliance-automation</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DEV Community. https://dev.to/dataformathub/rest-vs-graphql-vs-trpc-the-ultimate-api-design-guide-for-2026-8n3</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Springer. https://link.springer.com/article/10.1057/s41262-025-00380-5</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Telerik. https://www.telerik.com/blogs/boost-site-speed-speculation-rules-api-guide-prerendering-prefetching</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Research Square. https://www.researchsquare.com/article/rs-6770274/v1.pdf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Sprinto. https://sprinto.com/blog/secureframe-vs-vanta-vs-drata/</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Medium. https://medium.com/@rahucode1/why-skeleton-screens-matter-the-real-benefit-beyond-load-times-05a04447d935</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Competitors Analysis. https://blog.competitorscan.io/user-behavior-data-matters-saas-experiments/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medium.com. https://navanathjadhav.medium.com/feature-flags-in-production-i-used-launchdarkly-unleash-and-diy-71b3f919fbab</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techinterview.org. https://www.techinterview.org/post/3233475212/build-command-palette-cmd-k/</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Sprinto. https://sprinto.com/blog/vanta-review/</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Approved Controls. https://www.complyjet.com/blog/secureframe-review</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pgedge.com. https://www.pgedge.com/blog/point-in-time-recovery-pitr-in-postgresql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cybersecify.com. https://cybersecify.com/blog/vanta-vs-drata-vs-manual-soc2/</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grsee.com. https://grsee.com/resources/compliance/compliance-automation-platform-comparison-vanta-drata-secureframe-sprinto-scytale-anecdotes/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Security &amp; Compliance Software Comparison. https://getsecureslate.com/blog/the-ultimate-guide-to-compliance-platform-pricing-2026</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Code With Mukesh. https://codewithmukesh.com/blog/plan-mode-claude-code/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PayPro Global. https://payproglobal.com/answers/what-is-saas-time-to-value-ttv/</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Smashing Magazine. https://www.smashingmagazine.com/2026/02/designing-agentic-ai-practical-ux-patterns/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DSS. https://lowerplane.com/blog/vanta-vs-drata/</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Learn GenAI &amp; ML. https://www.institutepm.com/knowledge-hub/agentic-ai-ux-patterns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UX Design Institute. https://www.uxdesigninstitute.com/blog/design-experiences-for-ai-agents/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Microsoft Learn. https://learn.microsoft.com/en-us/azure/azure-sql/database/saas-tenancy-app-design-patterns?view=azuresql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Silberie Solutions. https://www.silberie.com/blog/saas-multitenancy-patterns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DEV Community. https://dev.to/7sigma/building-scalable-web-apps-in-2025-react-typescript-and-pragmatic-infrastructure-3ilh</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Medium. https://medium.com/@richardhightower/the-new-frontier-why-react-and-typescript-matter-in-2025-bfce03f5d3c9</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Home - CRP Comply. https://comply.crprotocol.io/</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Agentic Design. https://agentic-design.ai/patterns/ui-ux-patterns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Redis. https://redis.io/blog/data-isolation-multi-tenant-saas/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Medium. https://medium.com/design-bootcamp/ai-first-ux-design-in-2025-shaping-smarter-user-interactions-80a96166f117</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Survicate. https://survicate.com/blog/customer-feedback-loop/</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Spree Commerce. https://spreecommerce.org/multi-tenant-ecommerce-architecture-choosing-between-row-level-and-complete-isolation/</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Medium. https://medium.com/@justhamade/data-isolation-and-sharding-architectures-for-multi-tenant-systems-20584ae2bc31</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Medium. https://medium.com/@akshat.available/real-time-event-driven-architecture-with-kafka-websockets-and-react-b4698361e68a</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Things Solver. https://thingsolver.com/blog/personalization-engine/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Medium. https://balevdev.medium.com/skeletons-the-pinnacle-of-loading-states-in-react-19-427cbb5a1f48</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LogRocket Blog. https://blog.logrocket.com/react-toast-libraries-compared-2025/</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React. https://react.dev/reference/react/useOptimistic</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Medium. https://medium.com/the-thinkmill/progressive-rendering-the-key-to-faster-web-ebfbbece41a4</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Patterns. https://www.patterns.dev/react/streaming-ssr/</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noqta.tn. https://noqta.tn/en/tutorials/nextjs-15-partial-prerendering-ppr-guide-2026</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Next.js by Vercel. https://nextjs.org/docs/app/guides/ppr-platform-guide</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Datree. https://www.datree.io/resources/kubernetes-readiness-and-liveness-probes-best-practices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DEV Community. https://dev.to/itaybenami/sse-websockets-or-polling-build-a-real-time-stock-app-with-react-and-hono-1h1g</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oneuptime.com. https://oneuptime.com/blog/post/2026-01-15-server-sent-events-sse-react/view</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Medium. https://medium.com/front-end-weekly/building-real-time-apps-with-server-sent-events-sse-in-react-8dcb557b767e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DEV Community. https://dev.to/melvinprince/mastering-hydration-in-react-19-the-ultimate-guide-to-faster-smarter-rendering-46ep</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Mux. https://www.mux.com/blog/react-19-server-components-and-actions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SitePoint. https://www.sitepoint.com/react-useoptimistic-production-patterns-for-instant-ui-updates/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Dev. https://fitnorth.ca/react-hot-toast-the-only-toast-notification-guide-you-ll-actually-finish/</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LogRocket Blog. https://blog.logrocket.com/ux-design/skeleton-loading-screen-design/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ThatSoftwareDude.com. https://www.thatsoftwaredude.com/content/14165/pure-css-loading-skeleton-screens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Free Frontend. https://freefrontend.com/css-shimmer/</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Mat Simon. https://www.matsimon.dev/blog/simple-skeleton-loaders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DEV Community. https://dev.to/rahucode/why-skeleton-screens-matter-the-real-benefit-beyond-load-times-g46</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makersden.io. https://makersden.io/blog/infinite-scroll-streaming-data-tanstack-query-react19</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比邻. https://eastondev.com/blog/en/posts/dev/20260330-tailwind-performance-optimization/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shadcn.io. https://www.shadcn.io/ui/command</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Radix UI. https://www.radix-ui.com/primitives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TanStack. https://tanstack.com/query/v5/docs/framework/react/guides/infinite-queries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Medium. https://beyondthecode.medium.com/zustand-a-guide-to-scalable-state-management-0186c4208e01</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Medium. https://medium.com/@anuragsingh121124/frontend-system-design-essentials-why-your-20-000-row-react-list-is-killing-your-browser-and-how-b1159cf763f9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TanStack. https://tanstack.com/virtual/latest</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refine. https://refine.dev/blog/framer-motion/</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pmnd.rs. https://zustand.docs.pmnd.rs/reference/integrations/persisting-store-data</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only buttons. https://subux.pro/glossary/command-palette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Blake Crosley. https://blakecrosley.com/guides/design/raycast</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lobehub.com. https://lobehub.com/skills/marcus-marcus-skills-linear-design-patterns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philipcdavis.com. https://philipcdavis.com/writing/command-palette-interfaces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conclude.io. https://conclude.io/blog/context-switching-is-killing-your-productivity/</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RescueTime Blog. https://blog.rescuetime.com/context-switching/</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Vim. https://writing.arman.do/p/superhuman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CMDK | Be faster at email. https://cmdk.email/post/which-email-client-has-better-keyboard-shortcuts-superhuman-or-others/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SourceForge. https://sourceforge.net/projects/meilisearch.mirror/</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Meilisearch Documentation. https://meilisearch.com/docs/getting_started/overview</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Americaneagle.com. https://www.americaneagle.com/insights/blog/post/what-is-algolia-search</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DocSearch by Algolia. https://docsearch.algolia.com/docs/who-can-apply/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Meilisearch. https://www.meilisearch.com/blog/fuzzy-search</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thesweetsetup.com. https://thesweetsetup.com/raycast-for-mac-the-next-generation-alfred/</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gHacks Technology News. https://www.ghacks.net/2015/06/10/how-windows-10s-quick-access-feature-differs-from-favorites/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Medium. https://medium.com/@mei33.pw/a-simple-example-of-a-terminal-web-emulator-cd54576013bf</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Stack Overflow. https://stackoverflow.com/questions/12905726/whats-the-best-way-to-simulate-a-dos-or-terminal-screen-in-a-web-page</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pixelmojo.io. https://www.pixelmojo.io/blogs/from-ux-to-ax-design-when-ai-becomes-coworker</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Agentic UX. https://agentic-ux.com/patterns/action-audit</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arXiv.org. https://arxiv.org/html/2412.10999v2</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datacouch.io. https://datacouch.io/blog/guide-to-setting-up-prometheus-and-grafana-for-monitoring/</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UX/UI Principles. https://uxuiprinciples.com/en/principles/confidence-indicator-display</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Value. https://designpixil.com/blog/ai-error-ux-design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AI Interface Design Patterns. https://aiuxplayground.com/gallery/perplexity-citations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Agentic UX. https://agentic-ux.com/patterns/intent-preview</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AI Design Patterns. https://www.aiuxdesign.guide/patterns/intent-preview</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Medium. https://medium.com/@alessandro.a.pagliaro/hello-agentic-ai-plan-and-execute-pattern-03ef9dd67b32</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AI Interface Design Patterns. https://aiuxplayground.com/pattern/sandbox-preview</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DEV Community. https://dev.to/greedy_reader/ai-chat-ui-best-practices-designing-better-llm-interfaces-18jj</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Vercel. https://vercel.com/kb/guide/optimizing-hard-navigations</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lazarev.agency. https://www.lazarev.agency/articles/ai-chatbot-ui-design</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Accessible, Fast &amp; Customizable. https://thefrontkit.com/blogs/ai-chat-ui-best-practices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AI Interface Design Patterns. https://aiuxplayground.com/pattern/streaming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Accessible, Fast &amp; Customizable. https://thefrontkit.com/blogs/what-is-streaming-ui-in-ai-applications</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AI Design Patterns. https://www.aiuxdesign.guide/guides/conversational-ui-guide/typing-indicators-and-streaming-responses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digestibleux.com. https://www.digestibleux.com/p/how-ai-models-show-their-reasoning</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Github. https://github.com/GetStream/stream-chat-android-ai</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DEV Community. https://dev.to/whoffagents/vercel-ai-sdk-usechat-in-production-streaming-errors-and-the-patterns-nobody-writes-about-4ecf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AI Design Patterns. https://www.aiuxdesign.guide/patterns/confidence-visualization</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Marko. https://markojs.com/docs/explanation/streaming</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growthbook.io. https://www.growthbook.io/blog/how-to-implement-feature-flags-at-scale</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Github. https://github.com/danny-avila/LibreChat/discussions/9466</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Lorikeet Security. https://lorikeetsecurity.com/blog/drata-vs-vanta-vs-secureframe</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Medium. https://medium.com/@sparkyingjie/swr-data-fetching-library-stale-while-revalidate-8ecb75cc8f41</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Uptrace. https://uptrace.dev/comparisons/newrelic-vs-datadog</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Agency Blog. https://blog.getagency.com/articles/secureframe-implementation-guide-for-soc-2</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Secureframe. https://secureframe.com/product-updates</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Trustpilot. https://www.trustpilot.com/review/secureframe.com</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greatfrontend.com. https://www.greatfrontend.com/blog/code-splitting-and-lazy-loading-in-react</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Sprinto. https://sprinto.com/blog/drata-vs-secureframe/</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anecdotes.ai. https://www.anecdotes.ai/</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Secureframe. https://secureframe.com/blog/automated-evidence-collection</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guideless.ai. https://guideless.ai/blog/15-best-free-onboarding-software-for-new-hires/</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Truvara. https://www.truvara.ai/blog/continuous-compliance/automated-evidence-collection-what-actually-works-in-2026-and-what-vendors-overpromise</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LoginRadius. https://www.loginradius.com/blog/identity/jwt-vs-session-based-authentication</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DEV Community. https://dev.to/crit3cal/jwt-vs-oauth2-vs-session-cookies-a-complete-authentication-strategy-breakdown-for-full-stack-1639</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MojoAuth. https://mojoauth.com/ciam-qna/session-cookies-vs-jwt-tokens-security</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Authgear. https://www.authgear.com/post/hmac-api-security/</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Passkey &amp; WebAuthn Engineering Hub. https://www.passkeywebauthn.com/backend-verification-secure-credential-storage/server-side-session-management-with-passkeys/</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Microsoft Learn. https://learn.microsoft.com/en-us/azure/architecture/guide/multitenant/service/managed-redis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DEV Community. https://dev.to/sidhantasamantaray/multi-tenant-cache-store-using-custom-rediscachemanager-ehm</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wikipedia.org. https://en.wikipedia.org/wiki/Nudge_theory</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The Decision Lab. https://thedecisionlab.com/reference-guide/psychology/fogg-behavior-model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Comp AI. https://www.trycomp.ai/hub/soc-2-checklist-for-saas-startups</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The Decision Lab. https://thedecisionlab.com/reference-guide/psychology/nudge-theory</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Level Security. https://www.midnytecity.com.au/blogs/multi-tenant-databases-with-postgres-row-level-security</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Medium. https://okanyurt.medium.com/multi-tenant-caching-strategies-why-redis-alone-isnt-enough-hybrid-pattern-f404877632e5</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DEV Community. https://dev.to/young_gao/real-time-event-streaming-kafka-vs-redis-streams-vs-nats-in-2026-34o1</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Java Code Geeks. https://www.javacodegeeks.com/2026/03/nats-vs-kafka-vs-redis-streams-for-java-microservices-when-simpler-actually-wins.html</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DEV Community. https://dev.to/pockit_tools/the-complete-guide-to-streaming-llm-responses-in-web-applications-from-sse-to-real-time-ui-3534</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arXiv.org. https://arxiv.org/html/2606.13968v1</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bullmq.io. https://bullmq.io/</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NestJS. https://docs.nestjs.com/techniques/queues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Temporal. https://temporal.io/blog/human-in-the-loop-approvals</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temporal.io. https://community.temporal.io/t/async-response-handling-in-a-workflow/7818</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konghq.com. https://developer.konghq.com/ai-gateway/streaming/</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PostgreSQL. https://www.postgresql.org/docs/current/ddl-rowsecurity.html</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SupaExplorer. https://supaexplorer.com/best-practices/supabase-postgres/security-rls-performance/</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scottpierce.dev. https://scottpierce.dev/posts/optimizing-postgres-rls/</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Bytebase. https://www.bytebase.com/blog/multi-tenant-database-architecture-patterns-explained/</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codeopinion.com. https://codeopinion.com/multi-tenant-database-per-tenant-or-shared/</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PlanetScale. https://planetscale.com/blog/rls-sounds-great-until-it-isnt</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stigg.io. https://www.stigg.io/blog-posts/feature-gating</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ensolvers.com. https://www.ensolvers.com/post/configuration-as-architecture-designing-per-client-features-at-scale</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Tenant SaaS in ASP.NET Core | Blog | Agnite Studio. https://agnitestudio.com/blog/tenant-aware-caching-saas/</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Shade Academy. https://academy.shade.inc/sharing-and-collaboration/workspace-and-drive-permissions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LoginRadius. https://www.loginradius.com/blog/identity/design-effective-rbac-system</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Aubergine SolutionsAubergine Solutions. https://www.aubergine.co/insights/a-guide-to-designing-chronological-activity-feeds</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adlabz.co. https://www.adlabz.co/ai-and-multi-tenant-saas-personalization-at-scale</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hubifi.com. https://www.hubifi.com/blog/immutable-audit-log-guide</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substack.com. https://passkeys.substack.com/p/device-bound-passkey-adoption-and</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Engineering at Meta. https://engineering.fb.com/2026/02/04/security/cross-device-passkey-authentication-for-xr-devices-meta-quest/</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Security Today. https://www.securitytoday.de/en/2026/03/24/adaptive-mfa-2026-how-risk-based-authentication-replaces-standard-mfa/</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OneSpan. https://www.onespan.com/topics/continuous-authentication</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Okta. https://www.okta.com/products/adaptive-multi-factor-authentication/</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iso27001.com. https://iso27001.com/iso-27001-annex-a-8-5-secure-authentication/</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APIsec. https://www.apisec.ai/blog/jwt-security-vulnerabilities-prevention</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InboxAgents. https://inboxagents.ai/blog/oauth-security-best-practices</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phasetwo.io. https://phasetwo.io/articles/jwts/jwt-security-best-practices/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oneuptime.com. https://oneuptime.com/blog/post/2026-01-25-secure-apis-hmac-request-signing-go/view</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saashero.net. https://www.saashero.net/design/landing-page-design-trust-signals/</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oneuptime.com. https://oneuptime.com/blog/post/2026-01-15-react-native-skeleton-loading/view</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GRCTrail. https://grctrail.com/blog/iso-27001-access-control/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growthbook.io. https://www.growthbook.io/insights/launchdarkly-feature-flagging-platform-explained</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configcat.com. https://configcat.com/blog/how-to-implement-a-canary-release-with-feature-flags/</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Octopus Deploy. https://octopus.com/devops/feature-flags/feature-flag-best-practices/</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atlarge-research.com. https://atlarge-research.com/pdfs/2024-msc-anders_tracing_overhead.pdf</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OpenTelemetry. https://opentelemetry.io/blog/2024/llm-observability/</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mkabumattar.com. https://mkabumattar.com/devtips/post/structured-logging-elk-stack</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WP Rocket. https://wp-rocket.me/blog/core-web-vitals-testing-performance-monitoring-tools/</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onlineornot.com. https://onlineornot.com/synthetic-monitoring-tools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LangChain. https://www.langchain.com/langsmith/observability</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sreschool.com. https://sreschool.com/blog/error-budgets-a-complete-guide/</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splunk.com. https://help.splunk.com/en/splunk-observability-cloud/create-alerts-detectors-and-service-level-objectives/create-service-level-objectives-slos/burn-rate-alerts</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Google - Site Reliability Engineering. https://sre.google/workbook/alerting-on-slos/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Datadog. https://www.datadoghq.com/blog/burn-rate-is-better-error-rate/</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Google - Site Reliability Engineering. https://sre.google/workbook/incident-response/</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PagerDuty Incident Response Documentation. https://response.pagerduty.com/after/post_mortem_template/</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PagerDuty. https://www.pagerduty.com/resources/digital-operations/learn/incident-postmortem/</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Medium. https://medium.com/@shubham.shardul2019/llm-observability-with-langsmith-log-observations-beyond-just-ui-5d5e4a416b43</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Medium. https://medium.com/@kartikdudeja21/llm-observability-with-opentelemetry-a-practical-guide-18f3f51d6a50</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Transition Technologies MS | TTMS. https://ttms.com/llm-observability-how-to-monitor-ai-when-it-thinks-in-tokens/</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Medium. https://medium.com/@ismailkovvuru/how-to-run-chaos-gameday-with-gremlin-runbooks-automation-a-practical-guide-for-devops-engineers-79d4331561d5</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digitalapplied.com. https://www.digitalapplied.com/blog/customer-onboarding-time-to-value-2026-saas-metrics-framework</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Dollar Results: The GTM Strategy Nobody's Teaching. https://www.saasfactor.co/blogs/the-science-of-saas-onboarding-a-comprehensive-framework-for-reducing-friction-improving-activation-and-preventing-churn</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Statsig. https://www.statsig.com/perspectives/saas-onboarding-kpis</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LoginRadius. https://www.loginradius.com/blog/identity/passwordless-authentication-benefits-roi</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scalekit.com. https://www.scalekit.com/blog/passkeys-saas-guide-to-passwordless-signins</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Appcues. https://www.appcues.com/user-onboarding</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Chameleon. https://www.chameleon.io/blog/reduce-time-to-value-onboarding</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MeltingSpot. https://meltingspot.io/en/blog/reduce-saas-time-to-value</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Userlens by Wudpecker. https://userlens.io/blog/ultimate-guide-to-time-to-value-optimization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Medium. https://medium.com/@theuxarchitect/progressive-disclosure-in-enterprise-design-less-is-more-until-it-isnt-01c8c6b57da9</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jimo.ai. https://jimo.ai/blog/guided-onboarding</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GearedApp. https://gearedapp.co.uk/blog/how-to-add-gamification-to-saas-onboarding</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Userpilot. https://userpilot.com/saas-product-metrics/</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OnboardingHub. https://onboarding-hub.com/guides/onboarding-completion-rate</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Dollar Results: The GTM Strategy Nobody's Teaching. https://www.saasfactor.co/blogs/why-most-product-tours-fail-and-how-to-implement-contextual-onboarding</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customerhero.com. https://www.customerhero.com/blog/service-recovery-paradox-explained</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AmplifAI. https://www.amplifai.com/blog/service-recovery-paradox</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Github. https://github.com/dhairyagothi/100_days_100_web_project/issues/3001</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DEV Community. https://dev.to/zeeshanali0704/frontend-system-design-offline-support-and-progressive-web-apps-pwas-4k8m</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Medium. https://medium.com/thinking-design/how-to-write-design-user-friendly-error-messages-87d0207bb902</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UX Content Collective. https://uxcontent.com/how-to-write-error-messages/</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UX Lift. https://www.uxlift.org/articles/error-message-guidelines/</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Timothy Graf. https://timgraf.com/ui/the-art-of-graceful-failure-designing-error-handling-and-recovery-patterns-that-build-user-trust/</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Microsoft Learn. https://learn.microsoft.com/en-us/azure/architecture/patterns/circuit-breaker</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Microsoft Learn. https://learn.microsoft.com/en-us/azure/architecture/patterns/retry</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GeeksForGeeks. https://www.geeksforgeeks.org/system-design/circuit-breaker-vs-retry-pattern/</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Medium. https://medium.com/@usama19026/building-resilient-applications-circuit-breaker-pattern-with-exponential-backoff-fc14ba0a0beb</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productic. https://www.productic.net/maia/proven-strategies-to-overcome-the-undo-problem-in-ai-products/</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hidekazu-konishi.com. https://hidekazu-konishi.com/entry/pwa_advanced_implementation_guide.html</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Nielsen Norman Group. https://www.nngroup.com/articles/error-message-guidelines/</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arXiv.org. https://arxiv.org/html/2510.04968v1</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Fernando Ruiz. https://www.fernandoux.com/en/wiki/concepts/conflict-resolution/</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nextleap.app. https://assets.nextleap.app/submissions/UXUIAssignment1-7f5af5e0-0568-4938-98fb-6aa024de12a8.pdf</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AI Interface Design Patterns. https://www.aiuxplayground.com/patterns/trust/</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centigrade.de. https://www.centigrade.de/en/blog/how-to-design-better-error-messages/</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Prose Media. https://www.prosemedia.com/blog/empathy-in-ux-writing-crafting-microcopy-that-connects-guides-and-reassures</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Parallel. https://www.parallelhq.com/blog/what-ux-copywriting</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LogRocket Blog. https://blog.logrocket.com/ux-design/ux-form-validation-inline-after-submission/</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Baymard. https://baymard.com/blog/inline-form-validation</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Vecteezy. https://www.vecteezy.com/png/68656849-black-shield-with-blue-checkmark-verified-protection-symbol-realistic-transparent-security-badge-for-ui-design-cyber-safety-concept-authentication-icon-trust-indicator-graphic-asset</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Hyperproof. https://hyperproof.io/resource/secure-software-development-best-practices/</w:t>
      </w:r>
      <w:bookmarkEnd w:id="1023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1" Target="media/rId51.png"/><Relationship Type="http://schemas.openxmlformats.org/officeDocument/2006/relationships/image" Id="rId60" Target="media/rId60.png"/><Relationship Type="http://schemas.openxmlformats.org/officeDocument/2006/relationships/image" Id="rId97" Target="media/rId97.png"/><Relationship Type="http://schemas.openxmlformats.org/officeDocument/2006/relationships/image" Id="rId44" Target="media/rId44.png"/><Relationship Type="http://schemas.openxmlformats.org/officeDocument/2006/relationships/image" Id="rId70" Target="media/rId70.png"/><Relationship Type="http://schemas.openxmlformats.org/officeDocument/2006/relationships/image" Id="rId29" Target="media/rId29.png"/><Relationship Type="http://schemas.openxmlformats.org/officeDocument/2006/relationships/image" Id="rId113" Target="media/rId113.png"/><Relationship Type="http://schemas.openxmlformats.org/officeDocument/2006/relationships/image" Id="rId34" Target="media/rId34.png"/><Relationship Type="http://schemas.openxmlformats.org/officeDocument/2006/relationships/image" Id="rId81" Target="media/rId81.png"/><Relationship Type="http://schemas.openxmlformats.org/officeDocument/2006/relationships/image" Id="rId91" Target="media/rId91.png"/><Relationship Id="rId11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2026-07-05T11:06:13Z</dcterms:created>
  <dcterms:modified xsi:type="dcterms:W3CDTF">2026-07-05T11:06:13Z</dcterms:modified>
</cp:coreProperties>
</file>

<file path=docProps/custom.xml><?xml version="1.0" encoding="utf-8"?>
<Properties xmlns="http://schemas.openxmlformats.org/officeDocument/2006/custom-properties" xmlns:vt="http://schemas.openxmlformats.org/officeDocument/2006/docPropsVTypes"/>
</file>