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937"/>
          <w:sz w:val="56"/>
          <w:szCs w:val="56"/>
        </w:rPr>
        <w:t xml:space="preserve">BLACKBAR</w:t>
      </w:r>
    </w:p>
    <w:p>
      <w:pPr>
        <w:spacing w:after="6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PHASED IMPLEMENTATION ROADMAP</w:t>
      </w:r>
    </w:p>
    <w:p>
      <w:pPr>
        <w:pBdr>
          <w:bottom w:val="single" w:color="3B82F6" w:sz="4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From Corpus to Courtroom: A Four-Phase Build Plan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13,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Duration: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Output: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 (slip-and-fall POC)</w:t>
            </w:r>
          </w:p>
        </w:tc>
      </w:tr>
    </w:tbl>
    <w:r>
      <w:br w:type="page"/>
    </w:r>
    <w:p>
      <w:pPr>
        <w:pStyle w:val="Heading1"/>
        <w:pBdr>
          <w:bottom w:val="single" w:color="3B82F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Implementation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roadmap sequences BlackBar's build around one principle: get Lane producing real drafts on real cases as fast as possible, then expand scope. Phase 1 targets slip-and-fall premises liability — the highest-volume, most templated case type with the deepest precedent corpus. Each subsequent phase adds a case type domain and an agent capability.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180"/>
        <w:gridCol w:w="31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1.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 ingestion + Agent 1 (Intake) + Agent 4 (Draft Assembly) for slip-and-fall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AI-assisted slip-and-fall draft on a live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2.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7–10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 (Standards) + Agent 3 (Precedent/Adversarial) + opposing expert corpus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standards matrix + opposing expert dossier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3.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11–14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5 (QC) + Daubert compliance layer + full premises liability coverage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pipeline producing QC-validated reports across all PL sub-types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4. Expansion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15–20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&amp; Construction cases + Clio integration + rebuttal workflow + production hardening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BlackBar deployment across all SCG practice areas</w:t>
            </w:r>
          </w:p>
        </w:tc>
      </w:tr>
    </w:tbl>
    <w:r>
      <w:br w:type="page"/>
    </w:r>
    <w:p>
      <w:pPr>
        <w:pStyle w:val="Heading1"/>
        <w:pBdr>
          <w:bottom w:val="single" w:color="3B82F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1: Foundation (Weeks 1–6)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Get Lane producing a real slip-and-fall draft on a live case using AI assistance by Week 6.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1–2: Corpus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all 704 Premises Liability PDFs using Docling/Unstructured.io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text corpus with metadata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documents with metadata schema (case type, sub-type, jurisdiction, venue, report type, section type, codes cited)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 populated with PL corpus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Lane's report templates: identify section structures, heading patterns, citation formats, reasoning flows across 50+ reports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 + Lane (2 hrs review)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library with structural patterns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analysis: extract characteristic language patterns, sentence structures, terminology preferences from corpus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calibration profile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structured intake form (web or mobile) for site photos, notes, consultant blurb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Intake form deployed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3–4: Agent 1 (Intake &amp; 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Agent 1: case type classification from photos + notes + blurb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 deployed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jurisdiction resolver (address → Clark County/Henderson/LV/NLV/Reno/Boulder City)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Jurisdiction mapping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Claude Vision integration for site photo processing (EXIF, scene description, condition documentation)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processing pipeline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Agent 1 against 20 historical cases (known classifications). Target: 95%+ accuracy.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 + Lane (1 hr review)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report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5–6: Agent 4 (Draft Assembly) — Slip-and-Fall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Agent 4 with slip-and-fall template: Observation → Standard → Analysis → Opinion structure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4 (slip-and-fall scope)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voice calibration from corpus analysis. Integrate precedent retrieval (simple similarity search, no full Agent 3 yet).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Voice-calibrated draft engine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.docx output with Lane's formatting: headers, numbering, exhibit references, photo embedding, DRAFT watermarks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Court-formatted .docx generation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Agent 4 against 5 historical slip-and-fall cases. Lane reviews outputs for voice fidelity and structural accuracy.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(3 hrs review)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validation: Lane approval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★ MILESTONE: First AI-assisted draft on a live slip-and-fall case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use begins</w:t>
            </w:r>
          </w:p>
        </w:tc>
      </w:tr>
    </w:tbl>
    <w:r>
      <w:br w:type="page"/>
    </w:r>
    <w:p>
      <w:pPr>
        <w:pStyle w:val="Heading1"/>
        <w:pBdr>
          <w:bottom w:val="single" w:color="3B82F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2: Intelligence (Weeks 7–10)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Add standards resolution and adversarial intelligence. Transform BlackBar from a drafting tool into a forensic reasoning engine.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7–8: Agent 2 (Standards &amp; Code Resolution)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PostgreSQL standards database: ingest ICC, ASTM, ANSI, NFPA, IES, NFSI standards with section-level granularity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 DB populated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jurisdiction → adopted code editions for Clark County, Henderson, Las Vegas, NLV, Reno, Boulder City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 + Lane (1 hr)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Jurisdiction-edition mapping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Nevada development codes: Title 30, Henderson Dev Code, LV UDC, NLV Dev Code, Reno Dev Code, Boulder City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codes in 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Agent 2: classification + jurisdiction → applicable standards matrix with specific section references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 deployed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against 10 historical cases: compare Agent 2's standards matrix to Lane's actual citations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(1 hr review)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 accuracy validation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9–10: Agent 3 (Precedent &amp; Adversarial Retrieval)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all 224 opposing expert reports with metadata: expert name, firm, case type, methodology, key positions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Opposing expert corpus in vector store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opposing expert profiles: reasoning patterns, methodology gaps, prior contradictions, cross-examination vulnerabilities for each of the 11 named experts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 + Lane (2 hrs)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adversarial intelligence profiles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Agent 3 Path A: SCG corpus retrieval with same-client, same-expert priority weighting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Precedent retrieval engine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Agent 3 Path B: opposing expert dossier generation from adversarial library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intelligence engine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Gate 1 workflow: Lane reviews intake card + standards matrix + precedent set before draft assembly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Gate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★ MILESTONE: Automated standards matrix + opposing expert dossier on demand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layer operational</w:t>
            </w:r>
          </w:p>
        </w:tc>
      </w:tr>
    </w:tbl>
    <w:r>
      <w:br w:type="page"/>
    </w:r>
    <w:p>
      <w:pPr>
        <w:pStyle w:val="Heading1"/>
        <w:pBdr>
          <w:bottom w:val="single" w:color="3B82F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3: Hardening (Weeks 11–14)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Add QC/cross-examination hardening, Daubert compliance layer, and expand to full premises liability coverage.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11–12: Agent 5 (QC &amp; Cross-Examination Hardening)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citation verification engine: every code reference resolves to a real, current section in standards DB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verifier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logic audit: opinion-to-fact traceability check, unsupported conclusion detection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auditor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consistency checker: compare current opinions against Lane's positions in prior cases on same issues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consistency engine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DRAFT watermarking and tracked-change audit trail for Daubert defensibility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Daubert compliance layer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Gate 2 workflow: Lane reviews annotated draft with QC flags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Gate 2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13–14: Full Premises Liability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Agent 4 templates to all PL sub-types: trip/fall, stairway, lighting, ADA, bathing/swimming, landscape, fire, FFE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 + Lane (3 hrs)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 template library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pipeline testing: run 3 live cases through full 5-agent pipeline with both gates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(4 hrs total)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validation on live cases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review: Lane's litigation attorney validates Daubert positioning, audit trail, and deposition strategy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Lane's attorney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clearance memo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★ MILESTONE: Full end-to-end pipeline across all Premises Liability sub-types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 pipeline production-ready</w:t>
            </w:r>
          </w:p>
        </w:tc>
      </w:tr>
    </w:tbl>
    <w:r>
      <w:br w:type="page"/>
    </w:r>
    <w:p>
      <w:pPr>
        <w:pStyle w:val="Heading1"/>
        <w:pBdr>
          <w:bottom w:val="single" w:color="3B82F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4: Expansion (Weeks 15–20)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Expand to Design &amp; Construction cases, add rebuttal workflow, integrate Clio case management, and harden for full production.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15–16: Design &amp; Construction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168 Design &amp; Construction PDFs: contracts, OSHA, estimating, codes, pools, residential, public works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D&amp;C corpus in vector store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D&amp;C-specific templates and extend Agent 4 for contract claims, construction defects, OSHA compliance, jobsite safety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 + Lane (2 hrs)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D&amp;C template library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standards DB with OSHA regulations, contract law references, estimating standards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standards DB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17–18: Rebuttal Workflow &amp; Clio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rebuttal-specific Agent 4 variant: point-by-point opposing report analysis with cross-reference to expert dossier contradictions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Rebuttal draft engine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Clio API: conflict checks, deadline tracking, case number assignment, billing time capture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 + Lane (1 hr config)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Clio integration live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Photo/Video Analysis workflow: extend Agent 1 classification for surveillance and aerial imagery cases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Photo/video case type support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19–20: Production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OAuth 2.0 + RBAC: Lane-only access for opinion adoption; staff access for intake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layer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S3/Azure Blob storage with versioning for case files, photos, and generated reports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 infrastructure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monitoring, logging, and error handling across all 5 agents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layer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testing: 5 live cases across PL, D&amp;C, and Photo/Video with full pipeline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(5 hrs total)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★ MILESTONE: Full BlackBar deployment across all SCG practice areas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BlackBar v2.0 production launch</w:t>
            </w:r>
          </w:p>
        </w:tc>
      </w:tr>
    </w:tbl>
    <w:r>
      <w:br w:type="page"/>
    </w:r>
    <w:p>
      <w:pPr>
        <w:pStyle w:val="Heading1"/>
        <w:pBdr>
          <w:bottom w:val="single" w:color="3B82F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Resource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Lane's Time Commitment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review (2 hrs), classification validation (1 hr), draft review (3 hrs)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 validation (1 hr), adversarial profile review (2 hrs), Gate 1 testing (1 hr)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Hardening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hrs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expansion (3 hrs), live case testing (4 hrs)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Expansion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hrs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D&amp;C templates (2 hrs), Clio config (1 hr), full system testing (5 hrs)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~25 hrs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Spread across 20 weeks (~1.25 hrs/week average)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Development Team Estimate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Assumes a 2-person team (1 ML/AI engineer + 1 full-stack engineer) working full-time: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 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 ingestion + vector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1,109 PDFs, metadata extraction, chunking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 (Intake/Classification)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integration, jurisdiction resolver, conflict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 (Standards/Codes)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 DB build, jurisdiction-edition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 (Precedent/Adversarial)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retrieval paths, adversarial profiling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4 (Draft Assembly)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calibration, template engine, .docx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5 (QC/Hardening)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verification, logic audit, consistency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(auth, storage, Clio)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OAuth, S3, API integration,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 + production hardening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pipeline validation on live cases</w:t>
            </w:r>
          </w:p>
        </w:tc>
      </w:tr>
    </w:tbl>
    <w:r>
      <w:br w:type="page"/>
    </w:r>
    <w:p>
      <w:pPr>
        <w:pStyle w:val="Heading1"/>
        <w:pBdr>
          <w:bottom w:val="single" w:color="3B82F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980"/>
        <w:gridCol w:w="29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Daubert challenge to AI-assisted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opinions ruled inadmissible if court determines AI, not expert, generated the conclusions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watermarking, tracked-change audit trail, deposition positioning strategy. Legal review in Phase 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drift from Lane's established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Stylistic inconsistency exploitable on cross-examination as evidence expert did not author the report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Corpus-trained voice calibration. Lane reviews every draft. Consistency checker in Agent 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Hallucinated code citations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Citing nonexistent code sections destroys expert credibility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 DB as ground truth. Agent 5 verifies every citation resolves to real, current section.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Jurisdiction-edition mismatch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Citing wrong code edition for jurisdiction undermines analysis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jurisdiction-to-edition mapping in standards DB. Agent 2 resolves before draft.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Opposing expert corpus staleness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profiles outdated as experts evolve their methodology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ingestion pipeline. New opposing reports added as cases close.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Lane adoption friction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rejects AI drafts as too different from his natural output, abandons tool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POC on highest-volume case type. Iterative voice calibration with Lane's direct feedback.</w:t>
            </w:r>
          </w:p>
        </w:tc>
      </w:tr>
    </w:tbl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END OF IMPLEMENTATION ROADMAP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Swainston Consulting Group  |  BlackBar v2.0 Roadmap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3B82F6"/>
        <w:sz w:val="16"/>
        <w:szCs w:val="16"/>
      </w:rPr>
      <w:t xml:space="preserve">BLACKBAR IMPLEMENTATION ROADMAP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2026-03-14T03:23:10.927Z</dcterms:created>
  <dcterms:modified xsi:type="dcterms:W3CDTF">2026-03-14T03:23:10.928Z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