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2937"/>
          <w:sz w:val="56"/>
          <w:szCs w:val="56"/>
        </w:rPr>
        <w:t xml:space="preserve">BLACKBAR</w:t>
      </w:r>
    </w:p>
    <w:p>
      <w:pPr>
        <w:spacing w:after="60"/>
        <w:jc w:val="center"/>
      </w:pPr>
      <w:r>
        <w:rPr>
          <w:rFonts w:ascii="Arial" w:cs="Arial" w:eastAsia="Arial" w:hAnsi="Arial"/>
          <w:color w:val="3B82F6"/>
          <w:sz w:val="32"/>
          <w:szCs w:val="32"/>
        </w:rPr>
        <w:t xml:space="preserve">AGENTIC SYSTEM SPECIFICATION</w:t>
      </w:r>
    </w:p>
    <w:p>
      <w:pPr>
        <w:pBdr>
          <w:bottom w:val="single" w:color="3B82F6" w:sz="4" w:space="8"/>
        </w:pBdr>
        <w:spacing w:after="600"/>
        <w:jc w:val="center"/>
      </w:pPr>
      <w:r>
        <w:rPr>
          <w:rFonts w:ascii="Arial" w:cs="Arial" w:eastAsia="Arial" w:hAnsi="Arial"/>
          <w:i/>
          <w:iCs/>
          <w:color w:val="666666"/>
          <w:sz w:val="22"/>
          <w:szCs w:val="22"/>
        </w:rPr>
        <w:t xml:space="preserve">Forensic Litigation AI Agent for Construction Expert Witness Support</w:t>
      </w:r>
    </w:p>
    <w:p>
      <w:pPr>
        <w:spacing w:after="120"/>
        <w:jc w:val="center"/>
      </w:pPr>
      <w:r>
        <w:rPr>
          <w:rFonts w:ascii="Arial" w:cs="Arial" w:eastAsia="Arial" w:hAnsi="Arial"/>
          <w:color w:val="999999"/>
          <w:sz w:val="20"/>
          <w:szCs w:val="20"/>
        </w:rPr>
        <w:t xml:space="preserve">Prepared for:</w:t>
      </w:r>
    </w:p>
    <w:p>
      <w:pPr>
        <w:spacing w:after="60"/>
        <w:jc w:val="center"/>
      </w:pPr>
      <w:r>
        <w:rPr>
          <w:rFonts w:ascii="Arial" w:cs="Arial" w:eastAsia="Arial" w:hAnsi="Arial"/>
          <w:b/>
          <w:bCs/>
          <w:color w:val="1F2937"/>
          <w:sz w:val="24"/>
          <w:szCs w:val="24"/>
        </w:rPr>
        <w:t xml:space="preserve">Lane Swainston</w:t>
      </w:r>
    </w:p>
    <w:p>
      <w:pPr>
        <w:spacing w:after="60"/>
        <w:jc w:val="center"/>
      </w:pPr>
      <w:r>
        <w:rPr>
          <w:rFonts w:ascii="Arial" w:cs="Arial" w:eastAsia="Arial" w:hAnsi="Arial"/>
          <w:color w:val="666666"/>
          <w:sz w:val="20"/>
          <w:szCs w:val="20"/>
        </w:rPr>
        <w:t xml:space="preserve">Swainston Consulting Group</w:t>
      </w:r>
    </w:p>
    <w:p>
      <w:pPr>
        <w:spacing w:after="60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13, 2026</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Caleb Swainston</w:t>
            </w:r>
          </w:p>
        </w:tc>
      </w:tr>
    </w:tbl>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1. Executive Summary</w:t>
      </w:r>
    </w:p>
    <w:p>
      <w:pPr>
        <w:spacing w:after="120"/>
      </w:pPr>
      <w:r>
        <w:rPr>
          <w:rFonts w:ascii="Arial" w:cs="Arial" w:eastAsia="Arial" w:hAnsi="Arial"/>
          <w:sz w:val="20"/>
          <w:szCs w:val="20"/>
        </w:rPr>
        <w:t xml:space="preserve">BlackBar is a multi-agent AI system designed to transform raw case inputs (photographs, site visit notes, and consultant direction) into template-driven, court-ready expert witness documents in Lane Swainston's established professional voice. The system operates as a forensic document assembly engine with an evidence-backed reasoning layer, not a general-purpose chatbot.</w:t>
      </w:r>
    </w:p>
    <w:p>
      <w:pPr>
        <w:spacing w:after="120"/>
      </w:pPr>
      <w:r>
        <w:rPr>
          <w:rFonts w:ascii="Arial" w:cs="Arial" w:eastAsia="Arial" w:hAnsi="Arial"/>
          <w:b/>
          <w:bCs/>
          <w:sz w:val="20"/>
          <w:szCs w:val="20"/>
        </w:rPr>
        <w:t xml:space="preserve">Core constraint: </w:t>
      </w:r>
      <w:r>
        <w:rPr>
          <w:rFonts w:ascii="Arial" w:cs="Arial" w:eastAsia="Arial" w:hAnsi="Arial"/>
          <w:sz w:val="20"/>
          <w:szCs w:val="20"/>
        </w:rPr>
        <w:t xml:space="preserve">Every output must survive cross-examination. This means zero hallucinated citations, jurisdiction-specific code resolution, and strict fidelity to Lane's established methodology and reasoning patterns.</w:t>
      </w:r>
    </w:p>
    <w:p>
      <w:pPr>
        <w:pStyle w:val="Heading2"/>
        <w:spacing w:before="240" w:after="120"/>
      </w:pPr>
      <w:r>
        <w:rPr>
          <w:rFonts w:ascii="Arial" w:cs="Arial" w:eastAsia="Arial" w:hAnsi="Arial"/>
          <w:b/>
          <w:bCs/>
          <w:color w:val="1F2937"/>
          <w:sz w:val="24"/>
          <w:szCs w:val="24"/>
        </w:rPr>
        <w:t xml:space="preserve">1.1 System Mission</w:t>
      </w:r>
    </w:p>
    <w:p>
      <w:pPr>
        <w:spacing w:after="120"/>
      </w:pPr>
      <w:r>
        <w:rPr>
          <w:rFonts w:ascii="Arial" w:cs="Arial" w:eastAsia="Arial" w:hAnsi="Arial"/>
          <w:sz w:val="20"/>
          <w:szCs w:val="20"/>
        </w:rPr>
        <w:t xml:space="preserve">Reduce expert report drafting time from 6–12 hours to 1–2 hours per case while maintaining the evidentiary rigor, code-citation accuracy, and professional voice that define SCG's courtroom credibility.</w:t>
      </w:r>
    </w:p>
    <w:p>
      <w:pPr>
        <w:pStyle w:val="Heading2"/>
        <w:spacing w:before="240" w:after="120"/>
      </w:pPr>
      <w:r>
        <w:rPr>
          <w:rFonts w:ascii="Arial" w:cs="Arial" w:eastAsia="Arial" w:hAnsi="Arial"/>
          <w:b/>
          <w:bCs/>
          <w:color w:val="1F2937"/>
          <w:sz w:val="24"/>
          <w:szCs w:val="24"/>
        </w:rPr>
        <w:t xml:space="preserve">1.2 Training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Corpus</w:t>
            </w:r>
          </w:p>
        </w:tc>
        <w:tc>
          <w:tcPr>
            <w:tcW w:type="dxa" w:w="1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Premises Liability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Slips, trips, stairs, lighting, ADA, bathing, landscape, FFE, fire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&amp; Construction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168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OSHA, estimating, building codes, pools, residential, public works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Opposing Expert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named experts: Jones/Aperture, Elliott, Hjorth, Peterson, Perez, Rimkus, Presswood, Gifford, Gill/ACS, Baker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Photo/Video Analysis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Surveillance, incident imagery, aerial analysis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sz w:val="20"/>
                <w:szCs w:val="20"/>
              </w:rPr>
              <w:t xml:space="preserve">1,109</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Full SCG case history across all practice areas</w:t>
            </w:r>
          </w:p>
        </w:tc>
      </w:tr>
    </w:tbl>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2. Multi-Agent Pipeline Architecture</w:t>
      </w:r>
    </w:p>
    <w:p>
      <w:pPr>
        <w:spacing w:after="120"/>
      </w:pPr>
      <w:r>
        <w:rPr>
          <w:rFonts w:ascii="Arial" w:cs="Arial" w:eastAsia="Arial" w:hAnsi="Arial"/>
          <w:sz w:val="20"/>
          <w:szCs w:val="20"/>
        </w:rPr>
        <w:t xml:space="preserve">BlackBar operates as a five-agent pipeline with two human-in-the-loop review gates. Each agent has a defined input contract, processing scope, and output contract. No agent generates novel expert opinions; all agents assemble, retrieve, and format based on Lane's established positions and applicable standards.</w:t>
      </w:r>
    </w:p>
    <w:p>
      <w:pPr>
        <w:pStyle w:val="Heading2"/>
        <w:spacing w:before="240" w:after="120"/>
      </w:pPr>
      <w:r>
        <w:rPr>
          <w:rFonts w:ascii="Arial" w:cs="Arial" w:eastAsia="Arial" w:hAnsi="Arial"/>
          <w:b/>
          <w:bCs/>
          <w:color w:val="1F2937"/>
          <w:sz w:val="24"/>
          <w:szCs w:val="24"/>
        </w:rPr>
        <w:t xml:space="preserve">2.1 Agent Definitions</w:t>
      </w:r>
    </w:p>
    <w:p>
      <w:pPr>
        <w:spacing w:after="120"/>
      </w:pPr>
      <w:r>
        <w:rPr>
          <w:rFonts w:ascii="Arial" w:cs="Arial" w:eastAsia="Arial" w:hAnsi="Arial"/>
          <w:b/>
          <w:bCs/>
          <w:color w:val="3B82F6"/>
          <w:sz w:val="22"/>
          <w:szCs w:val="22"/>
        </w:rPr>
        <w:t xml:space="preserve">Agent 1: Intake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 (EXIF metadata), site visit notes, Lane's case blurb, client contact info</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type classification (Premises Liability sub-types, Contract, ADA, Construction Defect, Jobsite Safety, Photo/Video). Jurisdiction resolution from site address. Party identification. Conflict check against case database. Deadline extraction.</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case intake card: classification, jurisdiction, applicable code families, suggested report template, identified conflicts, preliminary task list.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(classification task, cost-optimized)</w:t>
            </w:r>
          </w:p>
        </w:tc>
      </w:tr>
    </w:tbl>
    <w:p>
      <w:pPr>
        <w:spacing w:after="240"/>
      </w:pPr>
    </w:p>
    <w:p>
      <w:pPr>
        <w:spacing w:after="120"/>
      </w:pPr>
      <w:r>
        <w:rPr>
          <w:rFonts w:ascii="Arial" w:cs="Arial" w:eastAsia="Arial" w:hAnsi="Arial"/>
          <w:b/>
          <w:bCs/>
          <w:color w:val="3B82F6"/>
          <w:sz w:val="22"/>
          <w:szCs w:val="22"/>
        </w:rPr>
        <w:t xml:space="preserve">Agent 2: Standards &amp; Code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classification + jurisdiction from Agent 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Resolves jurisdiction to adopted building code edition (IBC/UBC year). Maps case sub-type to applicable ASTM, ANSI, NFPA, IES, NFSI standards. Identifies NRS, OSHA, ADA/ADAAG applicability. Resolves development code (Clark County Title 30 vs Henderson vs LV UDC vs NLV vs Reno vs Boulder City). Pulls SNHD regulations if health/safety involved.</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Standards matrix: specific section references (not just standard names), version/edition, jurisdiction authority, relevance to identified issues.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 structured standards database lookup</w:t>
            </w:r>
          </w:p>
        </w:tc>
      </w:tr>
    </w:tbl>
    <w:p>
      <w:pPr>
        <w:spacing w:after="240"/>
      </w:pPr>
    </w:p>
    <w:p>
      <w:pPr>
        <w:spacing w:after="120"/>
      </w:pPr>
      <w:r>
        <w:rPr>
          <w:rFonts w:ascii="Arial" w:cs="Arial" w:eastAsia="Arial" w:hAnsi="Arial"/>
          <w:b/>
          <w:bCs/>
          <w:color w:val="3B82F6"/>
          <w:sz w:val="22"/>
          <w:szCs w:val="22"/>
        </w:rPr>
        <w:t xml:space="preserve">Agent 3: Precedent &amp; Adversarial Intelligence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classification + opposing expert name (if known) + key issues from Agent 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A — SCG Corpus: Retrieves Lane's prior reports matching case type, venue type, and issue set. Prioritizes same-client and same-expert matches per SCG workflow. Extracts structural elements: section headings, opinion structures, code citations, conclusion patterns. Path B — Opposing Expert Corpus: If opposing expert is identified, retrieves their prior reports from the 224-report adversarial library. Flags reasoning patterns, methodology gaps, prior contradictions, and positions vulnerable to rebuttal.</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Ranked precedent set with extracted structural elements. Opposing expert dossier with cross-examination opportunities.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(reasoning-critical) + vector retrieval (Pinecone/Weaviate)</w:t>
            </w:r>
          </w:p>
        </w:tc>
      </w:tr>
    </w:tbl>
    <w:p>
      <w:pPr>
        <w:spacing w:after="120"/>
      </w:pPr>
    </w:p>
    <w:p>
      <w:pPr>
        <w:spacing w:after="120"/>
      </w:pPr>
      <w:r>
        <w:rPr>
          <w:rFonts w:ascii="Arial" w:cs="Arial" w:eastAsia="Arial" w:hAnsi="Arial"/>
          <w:b/>
          <w:bCs/>
          <w:color w:val="DC2626"/>
          <w:sz w:val="22"/>
          <w:szCs w:val="22"/>
        </w:rPr>
        <w:t xml:space="preserve">▶ GATE 1: </w:t>
      </w:r>
      <w:r>
        <w:rPr>
          <w:rFonts w:ascii="Arial" w:cs="Arial" w:eastAsia="Arial" w:hAnsi="Arial"/>
          <w:sz w:val="20"/>
          <w:szCs w:val="20"/>
        </w:rPr>
        <w:t xml:space="preserve">Lane reviews intake card + standards matrix + precedent set. Approves direction, adjusts scope, or redirects. No draft assembly proceeds without explicit approval.</w:t>
      </w:r>
    </w:p>
    <w:p>
      <w:pPr>
        <w:spacing w:after="240"/>
      </w:pPr>
    </w:p>
    <w:p>
      <w:pPr>
        <w:spacing w:after="120"/>
      </w:pPr>
      <w:r>
        <w:rPr>
          <w:rFonts w:ascii="Arial" w:cs="Arial" w:eastAsia="Arial" w:hAnsi="Arial"/>
          <w:b/>
          <w:bCs/>
          <w:color w:val="3B82F6"/>
          <w:sz w:val="22"/>
          <w:szCs w:val="22"/>
        </w:rPr>
        <w:t xml:space="preserve">Agent 4: Draft Assembly &amp; Voice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upstream outputs + Lane's approved direction + selected template from closest precedent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Assembles first draft using template structure derived from closest precedent report. Mirrors Lane's reasoning flow: observation → applicable standard → analysis → opinion. Cites standards using Lane's citation format. Embeds site photos with captions following Lane's style. Generates opinion sections as flagged drafts marked 'DRAFT — PENDING EXPERT REVIEW AND ADOPTION.' Applies voice calibration from corpus analysis of Lane's characteristic language patterns, sentence structures, and terminology.</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.docx draft in Lane's template format with tracked-change markers on all AI-generated opinion content.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(voice-critical, highest fidelity required)</w:t>
            </w:r>
          </w:p>
        </w:tc>
      </w:tr>
    </w:tbl>
    <w:p>
      <w:pPr>
        <w:spacing w:after="240"/>
      </w:pPr>
    </w:p>
    <w:p>
      <w:pPr>
        <w:spacing w:after="120"/>
      </w:pPr>
      <w:r>
        <w:rPr>
          <w:rFonts w:ascii="Arial" w:cs="Arial" w:eastAsia="Arial" w:hAnsi="Arial"/>
          <w:b/>
          <w:bCs/>
          <w:color w:val="3B82F6"/>
          <w:sz w:val="22"/>
          <w:szCs w:val="22"/>
        </w:rPr>
        <w:t xml:space="preserve">Agent 5: QC &amp; Cross-Examination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from Agent 4</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review: verifies every code citation resolves to a real, current section. Checks opinion-to-fact traceability (no logical gaps). Flags opinions lacking cited standard or fact foundation. Compares reasoning against opposing expert's known patterns. Checks internal consistency with Lane's positions in prior cases on same issues. Validates jurisdiction-specific code edition accuracy.</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Annotated draft with QC flags, citation verification report, and cross-examination vulnerability summary.</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(adversarial reasoning task)</w:t>
            </w:r>
          </w:p>
        </w:tc>
      </w:tr>
    </w:tbl>
    <w:p>
      <w:pPr>
        <w:spacing w:after="120"/>
      </w:pPr>
    </w:p>
    <w:p>
      <w:pPr>
        <w:spacing w:after="120"/>
      </w:pPr>
      <w:r>
        <w:rPr>
          <w:rFonts w:ascii="Arial" w:cs="Arial" w:eastAsia="Arial" w:hAnsi="Arial"/>
          <w:b/>
          <w:bCs/>
          <w:color w:val="DC2626"/>
          <w:sz w:val="22"/>
          <w:szCs w:val="22"/>
        </w:rPr>
        <w:t xml:space="preserve">▶ GATE 2: </w:t>
      </w:r>
      <w:r>
        <w:rPr>
          <w:rFonts w:ascii="Arial" w:cs="Arial" w:eastAsia="Arial" w:hAnsi="Arial"/>
          <w:sz w:val="20"/>
          <w:szCs w:val="20"/>
        </w:rPr>
        <w:t xml:space="preserve">Lane reviews final annotated draft. Modifies opinions, adopts as his own professional work product, signs. Tracked changes document the review process for Daubert defensibility.</w:t>
      </w:r>
    </w:p>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3. Technical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 SDK or LangGraph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pipeline with state management, human-in-the-loop gates, and agent routing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Voice-critical drafting (Agent 4), adversarial reasoning (Agents 3,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Classification LLM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Intake classification (Agent 1), code resolution (Agent 2). Cost-optimized.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Vector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or Weaviate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1,109 PDFs chunked with metadata: case type, jurisdiction, expert, date, outcome, venue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Parsing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Docling or Unstructured.io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to structured text with table/image extraction for corpus ingestion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Vision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EXIF extraction, scene description, condition documentation from site photos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docx-js or python-docx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Court-formatted .docx with headers, numbering, exhibit references, tracked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Case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Clio 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 checks, deadline tracking, billing integration (Lane's existing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Standards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structured tables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Queryable, version-controlled, jurisdiction-mapped code/standard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or Azure Blob</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file storage, photo uploads, generated reports with versioning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 RBAC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Lane-only access for opinion adoption; staff access for intake and retrieval</w:t>
            </w:r>
          </w:p>
        </w:tc>
      </w:tr>
    </w:tbl>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4. Data Architecture</w:t>
      </w:r>
    </w:p>
    <w:p>
      <w:pPr>
        <w:pStyle w:val="Heading2"/>
        <w:spacing w:before="240" w:after="120"/>
      </w:pPr>
      <w:r>
        <w:rPr>
          <w:rFonts w:ascii="Arial" w:cs="Arial" w:eastAsia="Arial" w:hAnsi="Arial"/>
          <w:b/>
          <w:bCs/>
          <w:color w:val="1F2937"/>
          <w:sz w:val="24"/>
          <w:szCs w:val="24"/>
        </w:rPr>
        <w:t xml:space="preserve">4.1 Vector Store Schema</w:t>
      </w:r>
    </w:p>
    <w:p>
      <w:pPr>
        <w:spacing w:after="120"/>
      </w:pPr>
      <w:r>
        <w:rPr>
          <w:rFonts w:ascii="Arial" w:cs="Arial" w:eastAsia="Arial" w:hAnsi="Arial"/>
          <w:sz w:val="20"/>
          <w:szCs w:val="20"/>
        </w:rPr>
        <w:t xml:space="preserve">Each document chunk is stored with rich metadata enabling precise retrieval across multiple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Premises Liability | Design &amp; Construction | Photo/Video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case_subtype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Slip/Trip/Stairway/Lighting/Bathing/Landscape/Contract/OSHA/ADA/Pool/Residential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Clark County | Henderson | Las Vegas | NLV | Reno | Boulder City |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 Supplemental | Amended | Rebuttal | Letter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SCG | Opposing Expert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opposing: Jones, Elliott, Hjorth, Peterson, Perez, Rimkus, Presswood, Gifford, Gill, Baker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 Code Analysis | Opinion | Conclusion | Rebuttal | Photo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codes_cited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code sections referenced in this chunk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Casino/Hotel | Retail | Residential | Public Works | Pool/Spa | Restaurant | Commercial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date for currency weighting</w:t>
            </w:r>
          </w:p>
        </w:tc>
      </w:tr>
    </w:tbl>
    <w:p>
      <w:pPr>
        <w:pStyle w:val="Heading2"/>
        <w:spacing w:before="240" w:after="120"/>
      </w:pPr>
      <w:r>
        <w:rPr>
          <w:rFonts w:ascii="Arial" w:cs="Arial" w:eastAsia="Arial" w:hAnsi="Arial"/>
          <w:b/>
          <w:bCs/>
          <w:color w:val="1F2937"/>
          <w:sz w:val="24"/>
          <w:szCs w:val="24"/>
        </w:rPr>
        <w:t xml:space="preserve">4.2 Standards Database Schema</w:t>
      </w:r>
    </w:p>
    <w:p>
      <w:pPr>
        <w:spacing w:after="120"/>
      </w:pPr>
      <w:r>
        <w:rPr>
          <w:rFonts w:ascii="Arial" w:cs="Arial" w:eastAsia="Arial" w:hAnsi="Arial"/>
          <w:sz w:val="20"/>
          <w:szCs w:val="20"/>
        </w:rPr>
        <w:t xml:space="preserve">A structured, queryable database of code sections — not raw PDFs — enabling Agent 2 to resolve jurisdiction + case type to specific applicable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standard_body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ICC, ASTM, ANSI, NFPA, IES, NFSI, OSHA, NRS, ADA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ANSI A326.3-2021, IBC 2018, NRS 651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section/clause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text of the applicable section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edition_year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edition year for version-locking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Jurisdictions that have adopted this edition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case types this section is relevant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lane_usage_count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times Lane has cited this section (frequency weighting)</w:t>
            </w:r>
          </w:p>
        </w:tc>
      </w:tr>
    </w:tbl>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5. Daubert Admissibility Framework</w:t>
      </w:r>
    </w:p>
    <w:p>
      <w:pPr>
        <w:spacing w:after="120"/>
      </w:pPr>
      <w:r>
        <w:rPr>
          <w:rFonts w:ascii="Arial" w:cs="Arial" w:eastAsia="Arial" w:hAnsi="Arial"/>
          <w:sz w:val="20"/>
          <w:szCs w:val="20"/>
        </w:rPr>
        <w:t xml:space="preserve">The system's primary legal risk is a Daubert challenge arguing that AI-generated conclusions lack the foundation required of expert testimony. The following design constraints mitigate this risk:</w:t>
      </w:r>
    </w:p>
    <w:p>
      <w:pPr>
        <w:pStyle w:val="Heading2"/>
        <w:spacing w:before="240" w:after="120"/>
      </w:pPr>
      <w:r>
        <w:rPr>
          <w:rFonts w:ascii="Arial" w:cs="Arial" w:eastAsia="Arial" w:hAnsi="Arial"/>
          <w:b/>
          <w:bCs/>
          <w:color w:val="1F2937"/>
          <w:sz w:val="24"/>
          <w:szCs w:val="24"/>
        </w:rPr>
        <w:t xml:space="preserve">5.1 Design Constraints</w:t>
      </w:r>
    </w:p>
    <w:p>
      <w:pPr>
        <w:pStyle w:val="ListParagraph"/>
        <w:numPr>
          <w:ilvl w:val="0"/>
          <w:numId w:val="2"/>
        </w:numPr>
      </w:pPr>
      <w:r>
        <w:rPr>
          <w:rFonts w:ascii="Arial" w:cs="Arial" w:eastAsia="Arial" w:hAnsi="Arial"/>
          <w:b/>
          <w:bCs/>
          <w:sz w:val="20"/>
          <w:szCs w:val="20"/>
        </w:rPr>
        <w:t xml:space="preserve">No novel opinion generation. </w:t>
      </w:r>
      <w:r>
        <w:rPr>
          <w:rFonts w:ascii="Arial" w:cs="Arial" w:eastAsia="Arial" w:hAnsi="Arial"/>
          <w:sz w:val="20"/>
          <w:szCs w:val="20"/>
        </w:rPr>
        <w:t xml:space="preserve">The system assembles from Lane's prior positions and applicable standards. It does not infer, extrapolate, or create opinions that Lane has not previously articulated on similar fact patterns.</w:t>
      </w:r>
    </w:p>
    <w:p>
      <w:pPr>
        <w:pStyle w:val="ListParagraph"/>
        <w:numPr>
          <w:ilvl w:val="0"/>
          <w:numId w:val="2"/>
        </w:numPr>
      </w:pPr>
      <w:r>
        <w:rPr>
          <w:rFonts w:ascii="Arial" w:cs="Arial" w:eastAsia="Arial" w:hAnsi="Arial"/>
          <w:b/>
          <w:bCs/>
          <w:sz w:val="20"/>
          <w:szCs w:val="20"/>
        </w:rPr>
        <w:t xml:space="preserve">Draft marking. </w:t>
      </w:r>
      <w:r>
        <w:rPr>
          <w:rFonts w:ascii="Arial" w:cs="Arial" w:eastAsia="Arial" w:hAnsi="Arial"/>
          <w:sz w:val="20"/>
          <w:szCs w:val="20"/>
        </w:rPr>
        <w:t xml:space="preserve">Every AI-generated opinion section is watermarked 'DRAFT — PENDING EXPERT REVIEW AND ADOPTION' until Lane explicitly accepts it.</w:t>
      </w:r>
    </w:p>
    <w:p>
      <w:pPr>
        <w:pStyle w:val="ListParagraph"/>
        <w:numPr>
          <w:ilvl w:val="0"/>
          <w:numId w:val="2"/>
        </w:numPr>
      </w:pPr>
      <w:r>
        <w:rPr>
          <w:rFonts w:ascii="Arial" w:cs="Arial" w:eastAsia="Arial" w:hAnsi="Arial"/>
          <w:b/>
          <w:bCs/>
          <w:sz w:val="20"/>
          <w:szCs w:val="20"/>
        </w:rPr>
        <w:t xml:space="preserve">Review audit trail. </w:t>
      </w:r>
      <w:r>
        <w:rPr>
          <w:rFonts w:ascii="Arial" w:cs="Arial" w:eastAsia="Arial" w:hAnsi="Arial"/>
          <w:sz w:val="20"/>
          <w:szCs w:val="20"/>
        </w:rPr>
        <w:t xml:space="preserve">Tracked changes, review timestamps, and Lane's modifications are preserved as evidence of independent expert judgment.</w:t>
      </w:r>
    </w:p>
    <w:p>
      <w:pPr>
        <w:pStyle w:val="ListParagraph"/>
        <w:numPr>
          <w:ilvl w:val="0"/>
          <w:numId w:val="2"/>
        </w:numPr>
      </w:pPr>
      <w:r>
        <w:rPr>
          <w:rFonts w:ascii="Arial" w:cs="Arial" w:eastAsia="Arial" w:hAnsi="Arial"/>
          <w:b/>
          <w:bCs/>
          <w:sz w:val="20"/>
          <w:szCs w:val="20"/>
        </w:rPr>
        <w:t xml:space="preserve">Deposition positioning. </w:t>
      </w:r>
      <w:r>
        <w:rPr>
          <w:rFonts w:ascii="Arial" w:cs="Arial" w:eastAsia="Arial" w:hAnsi="Arial"/>
          <w:sz w:val="20"/>
          <w:szCs w:val="20"/>
        </w:rPr>
        <w:t xml:space="preserve">The system is described in deposition as 'research and document preparation tools' — equivalent to a junior associate or paralegal who pulls precedent and drafts initial language that the expert reviews, modifies, and adopts.</w:t>
      </w:r>
    </w:p>
    <w:p>
      <w:pPr>
        <w:pStyle w:val="ListParagraph"/>
        <w:numPr>
          <w:ilvl w:val="0"/>
          <w:numId w:val="2"/>
        </w:numPr>
      </w:pPr>
      <w:r>
        <w:rPr>
          <w:rFonts w:ascii="Arial" w:cs="Arial" w:eastAsia="Arial" w:hAnsi="Arial"/>
          <w:b/>
          <w:bCs/>
          <w:sz w:val="20"/>
          <w:szCs w:val="20"/>
        </w:rPr>
        <w:t xml:space="preserve">Methodology consistency. </w:t>
      </w:r>
      <w:r>
        <w:rPr>
          <w:rFonts w:ascii="Arial" w:cs="Arial" w:eastAsia="Arial" w:hAnsi="Arial"/>
          <w:sz w:val="20"/>
          <w:szCs w:val="20"/>
        </w:rPr>
        <w:t xml:space="preserve">Voice calibration ensures AI drafts match Lane's established reasoning patterns, preventing opposing counsel from using stylistic inconsistency to suggest Lane did not author the opinions.</w:t>
      </w:r>
    </w:p>
    <w:p>
      <w:pPr>
        <w:pStyle w:val="Heading2"/>
        <w:spacing w:before="240" w:after="120"/>
      </w:pPr>
      <w:r>
        <w:rPr>
          <w:rFonts w:ascii="Arial" w:cs="Arial" w:eastAsia="Arial" w:hAnsi="Arial"/>
          <w:b/>
          <w:bCs/>
          <w:color w:val="1F2937"/>
          <w:sz w:val="24"/>
          <w:szCs w:val="24"/>
        </w:rPr>
        <w:t xml:space="preserve">5.2 Recommended Legal Review</w:t>
      </w:r>
    </w:p>
    <w:p>
      <w:pPr>
        <w:spacing w:after="120"/>
      </w:pPr>
      <w:r>
        <w:rPr>
          <w:rFonts w:ascii="Arial" w:cs="Arial" w:eastAsia="Arial" w:hAnsi="Arial"/>
          <w:sz w:val="20"/>
          <w:szCs w:val="20"/>
        </w:rPr>
        <w:t xml:space="preserve">Before deployment, Lane's litigation attorney should validate that the system's workflow, audit trail, and deposition positioning strategy adequately address Daubert challenges in Nevada state court and applicable federal circuits.</w:t>
      </w:r>
    </w:p>
    <w:r>
      <w:br w:type="page"/>
    </w:r>
    <w:p>
      <w:pPr>
        <w:pStyle w:val="Heading1"/>
        <w:pBdr>
          <w:bottom w:val="single" w:color="3B82F6" w:sz="4" w:space="4"/>
        </w:pBdr>
        <w:spacing w:before="360" w:after="180"/>
      </w:pPr>
      <w:r>
        <w:rPr>
          <w:rFonts w:ascii="Arial" w:cs="Arial" w:eastAsia="Arial" w:hAnsi="Arial"/>
          <w:b/>
          <w:bCs/>
          <w:color w:val="1F2937"/>
          <w:sz w:val="28"/>
          <w:szCs w:val="28"/>
        </w:rPr>
        <w:t xml:space="preserve">6. Input/Output Specifications</w:t>
      </w:r>
    </w:p>
    <w:p>
      <w:pPr>
        <w:pStyle w:val="Heading2"/>
        <w:spacing w:before="240" w:after="120"/>
      </w:pPr>
      <w:r>
        <w:rPr>
          <w:rFonts w:ascii="Arial" w:cs="Arial" w:eastAsia="Arial" w:hAnsi="Arial"/>
          <w:b/>
          <w:bCs/>
          <w:color w:val="1F2937"/>
          <w:sz w:val="24"/>
          <w:szCs w:val="24"/>
        </w:rPr>
        <w:t xml:space="preserve">6.1 System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Site photographs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JPEG/PNG with EXIF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coordinates, timestamp, camera metadata. Minimum 12MP. Labeled by location/condition.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Site visit 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form or voice memo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weather, parties present, measurements, observations, testing results (tribometer readings, lux measurements).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Consultant blurb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text (Lane's direction)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theory, key issues to address, specific opinions to develop, scope boundaries.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Case 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Complaints, contracts, incident reports, witness statements, depositions, opposing expert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Opposing expert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(name)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adversarial retrieval from the 224-report opposing expert corpus.</w:t>
            </w:r>
          </w:p>
        </w:tc>
      </w:tr>
    </w:tbl>
    <w:p>
      <w:pPr>
        <w:pStyle w:val="Heading2"/>
        <w:spacing w:before="240" w:after="120"/>
      </w:pPr>
      <w:r>
        <w:rPr>
          <w:rFonts w:ascii="Arial" w:cs="Arial" w:eastAsia="Arial" w:hAnsi="Arial"/>
          <w:b/>
          <w:bCs/>
          <w:color w:val="1F2937"/>
          <w:sz w:val="24"/>
          <w:szCs w:val="24"/>
        </w:rPr>
        <w:t xml:space="preserve">6.2 System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67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Expert Report (.docx)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Court-formatted initial, supplemental, or amended report in Lane's voice with code citations, photo exhibits, and opinions.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Rebuttal Report (.docx)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Point-by-point rebuttal of opposing expert with cross-reference to opposing expert's prior inconsistencies.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Standards Matrix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Jurisdiction-specific code/standard reference table with section numbers and relevance 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Opposing Expert Dossier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intelligence brief: methodology patterns, known gaps, prior contradictions, cross-examination targets.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QC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 verification, logic gap analysis, cross-examination vulnerability assessment.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Case Intake Card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classification, jurisdiction, code families, conflicts, preliminary task list.</w:t>
            </w:r>
          </w:p>
        </w:tc>
      </w:tr>
    </w:tbl>
    <w:p>
      <w:pPr>
        <w:spacing w:after="600"/>
      </w:pPr>
    </w:p>
    <w:p>
      <w:pPr>
        <w:spacing w:after="120"/>
        <w:jc w:val="center"/>
      </w:pPr>
      <w:r>
        <w:rPr>
          <w:rFonts w:ascii="Arial" w:cs="Arial" w:eastAsia="Arial" w:hAnsi="Arial"/>
          <w:b/>
          <w:bCs/>
          <w:color w:val="3B82F6"/>
          <w:sz w:val="20"/>
          <w:szCs w:val="20"/>
        </w:rPr>
        <w:t xml:space="preserve">END OF SYSTEM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Swainston Consulting Group  |  BlackBar v2.0 Architecture</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2" w:space="4"/>
      </w:pBdr>
      <w:tabs>
        <w:tab w:val="right" w:pos="9026"/>
      </w:tabs>
    </w:pPr>
    <w:r>
      <w:rPr>
        <w:rFonts w:ascii="Arial" w:cs="Arial" w:eastAsia="Arial" w:hAnsi="Arial"/>
        <w:b/>
        <w:bCs/>
        <w:color w:val="3B82F6"/>
        <w:sz w:val="16"/>
        <w:szCs w:val="16"/>
      </w:rPr>
      <w:t xml:space="preserve">BLACKBAR AGENTIC SYSTEM SPECIFICATION</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293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2026-03-14T03:19:18.095Z</dcterms:created>
  <dcterms:modified xsi:type="dcterms:W3CDTF">2026-03-14T03:19:18.095Z</dcterms:modified>
</cp:coreProperties>
</file>

<file path=docProps/custom.xml><?xml version="1.0" encoding="utf-8"?>
<Properties xmlns="http://schemas.openxmlformats.org/officeDocument/2006/custom-properties" xmlns:vt="http://schemas.openxmlformats.org/officeDocument/2006/docPropsVTypes"/>
</file>