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Cloning Masking Rules to Objects</w:t>
      </w:r>
    </w:p>
    <w:p>
      <w:pPr>
        <w:spacing w:after="560"/>
      </w:pPr>
      <w:r>
        <w:rPr>
          <w:b/>
          <w:color w:val="163A6B"/>
          <w:sz w:val="30"/>
        </w:rPr>
        <w:t>AutoRABIT Vault User Guide</w:t>
      </w:r>
    </w:p>
    <w:p>
      <w:pPr>
        <w:spacing w:after="360"/>
      </w:pPr>
      <w:r>
        <w:t>This guide explains how to clone existing masking rules to fields on one or more destination objects, review the rules that Vault will create, start the cloning operation, and monitor or retry the resulting bulk clone jobs.</w:t>
      </w:r>
    </w:p>
    <w:tbl>
      <w:tblPr>
        <w:tblW w:type="auto" w:w="0"/>
        <w:jc w:val="left"/>
        <w:tblLayout w:type="fixed"/>
        <w:tblLook w:firstColumn="1" w:firstRow="1" w:lastColumn="0" w:lastRow="0" w:noHBand="0" w:noVBand="1" w:val="04A0"/>
      </w:tblPr>
      <w:tblGrid>
        <w:gridCol w:w="2520"/>
        <w:gridCol w:w="6840"/>
      </w:tblGrid>
      <w:tr>
        <w:tc>
          <w:tcPr>
            <w:tcW w:type="dxa" w:w="2520"/>
            <w:tcMar>
              <w:top w:w="100" w:type="dxa"/>
              <w:start w:w="110" w:type="dxa"/>
              <w:bottom w:w="100" w:type="dxa"/>
              <w:end w:w="110" w:type="dxa"/>
            </w:tcMar>
            <w:vAlign w:val="center"/>
            <w:shd w:fill="163A6B"/>
          </w:tcPr>
          <w:p>
            <w:r>
              <w:rPr>
                <w:b/>
                <w:color w:val="FFFFFF"/>
              </w:rPr>
              <w:t>Audience</w:t>
            </w:r>
          </w:p>
        </w:tc>
        <w:tc>
          <w:tcPr>
            <w:tcW w:type="dxa" w:w="6840"/>
            <w:tcMar>
              <w:top w:w="100" w:type="dxa"/>
              <w:start w:w="110" w:type="dxa"/>
              <w:bottom w:w="100" w:type="dxa"/>
              <w:end w:w="110" w:type="dxa"/>
            </w:tcMar>
            <w:vAlign w:val="center"/>
          </w:tcPr>
          <w:p>
            <w:r>
              <w:t>Vault users who configure and manage masking rules</w:t>
            </w:r>
          </w:p>
        </w:tc>
      </w:tr>
      <w:tr>
        <w:tc>
          <w:tcPr>
            <w:tcW w:type="dxa" w:w="2520"/>
            <w:tcMar>
              <w:top w:w="100" w:type="dxa"/>
              <w:start w:w="110" w:type="dxa"/>
              <w:bottom w:w="100" w:type="dxa"/>
              <w:end w:w="110" w:type="dxa"/>
            </w:tcMar>
            <w:vAlign w:val="center"/>
            <w:shd w:fill="163A6B"/>
          </w:tcPr>
          <w:p>
            <w:r>
              <w:rPr>
                <w:b/>
                <w:color w:val="FFFFFF"/>
              </w:rPr>
              <w:t>Feature</w:t>
            </w:r>
          </w:p>
        </w:tc>
        <w:tc>
          <w:tcPr>
            <w:tcW w:type="dxa" w:w="6840"/>
            <w:tcMar>
              <w:top w:w="100" w:type="dxa"/>
              <w:start w:w="110" w:type="dxa"/>
              <w:bottom w:w="100" w:type="dxa"/>
              <w:end w:w="110" w:type="dxa"/>
            </w:tcMar>
            <w:vAlign w:val="center"/>
          </w:tcPr>
          <w:p>
            <w:r>
              <w:t>Masking &gt; Bulk Clone Rules &gt; Clone to Object</w:t>
            </w:r>
          </w:p>
        </w:tc>
      </w:tr>
      <w:tr>
        <w:tc>
          <w:tcPr>
            <w:tcW w:type="dxa" w:w="2520"/>
            <w:tcMar>
              <w:top w:w="100" w:type="dxa"/>
              <w:start w:w="110" w:type="dxa"/>
              <w:bottom w:w="100" w:type="dxa"/>
              <w:end w:w="110" w:type="dxa"/>
            </w:tcMar>
            <w:vAlign w:val="center"/>
            <w:shd w:fill="163A6B"/>
          </w:tcPr>
          <w:p>
            <w:r>
              <w:rPr>
                <w:b/>
                <w:color w:val="FFFFFF"/>
              </w:rPr>
              <w:t>Outcome</w:t>
            </w:r>
          </w:p>
        </w:tc>
        <w:tc>
          <w:tcPr>
            <w:tcW w:type="dxa" w:w="6840"/>
            <w:tcMar>
              <w:top w:w="100" w:type="dxa"/>
              <w:start w:w="110" w:type="dxa"/>
              <w:bottom w:w="100" w:type="dxa"/>
              <w:end w:w="110" w:type="dxa"/>
            </w:tcMar>
            <w:vAlign w:val="center"/>
          </w:tcPr>
          <w:p>
            <w:r>
              <w:t>Compatible fields are assigned cloned masking rules and tracked as destination-specific bulk clone jobs</w:t>
            </w:r>
          </w:p>
        </w:tc>
      </w:tr>
    </w:tbl>
    <w:p>
      <w:r>
        <w:br w:type="page"/>
      </w:r>
    </w:p>
    <w:p>
      <w:pPr>
        <w:pStyle w:val="Heading1"/>
      </w:pPr>
      <w:r>
        <w:t>How rule consolidation works</w:t>
      </w:r>
    </w:p>
    <w:p>
      <w:r>
        <w:t>Vault creates cloned rules by destination object and compatible field type. Within a destination object, selected fields with the same field type are combined under one cloned rule. The resulting rule retains the masking style and masking value of the selected source rule.</w:t>
      </w:r>
    </w:p>
    <w:tbl>
      <w:tblPr>
        <w:tblW w:type="auto" w:w="0"/>
        <w:jc w:val="center"/>
        <w:tblLayout w:type="fixed"/>
        <w:tblLook w:firstColumn="1" w:firstRow="1" w:lastColumn="0" w:lastRow="0" w:noHBand="0" w:noVBand="1" w:val="04A0"/>
      </w:tblPr>
      <w:tblGrid>
        <w:gridCol w:w="2880"/>
        <w:gridCol w:w="2880"/>
        <w:gridCol w:w="3384"/>
      </w:tblGrid>
      <w:tr>
        <w:trPr>
          <w:tblHeader w:val="true"/>
        </w:trPr>
        <w:tc>
          <w:tcPr>
            <w:tcW w:type="dxa" w:w="2880"/>
            <w:shd w:fill="163A6B"/>
            <w:tcMar>
              <w:top w:w="100" w:type="dxa"/>
              <w:start w:w="110" w:type="dxa"/>
              <w:bottom w:w="100" w:type="dxa"/>
              <w:end w:w="110" w:type="dxa"/>
            </w:tcMar>
          </w:tcPr>
          <w:p>
            <w:r>
              <w:rPr>
                <w:b/>
                <w:color w:val="FFFFFF"/>
              </w:rPr>
              <w:t>Observed selection</w:t>
            </w:r>
          </w:p>
        </w:tc>
        <w:tc>
          <w:tcPr>
            <w:tcW w:type="dxa" w:w="2880"/>
            <w:shd w:fill="163A6B"/>
            <w:tcMar>
              <w:top w:w="100" w:type="dxa"/>
              <w:start w:w="110" w:type="dxa"/>
              <w:bottom w:w="100" w:type="dxa"/>
              <w:end w:w="110" w:type="dxa"/>
            </w:tcMar>
          </w:tcPr>
          <w:p>
            <w:r>
              <w:rPr>
                <w:b/>
                <w:color w:val="FFFFFF"/>
              </w:rPr>
              <w:t>Result</w:t>
            </w:r>
          </w:p>
        </w:tc>
        <w:tc>
          <w:tcPr>
            <w:tcW w:type="dxa" w:w="3384"/>
            <w:shd w:fill="163A6B"/>
            <w:tcMar>
              <w:top w:w="100" w:type="dxa"/>
              <w:start w:w="110" w:type="dxa"/>
              <w:bottom w:w="100" w:type="dxa"/>
              <w:end w:w="110" w:type="dxa"/>
            </w:tcMar>
          </w:tcPr>
          <w:p>
            <w:r>
              <w:rPr>
                <w:b/>
                <w:color w:val="FFFFFF"/>
              </w:rPr>
              <w:t>Interpretation</w:t>
            </w:r>
          </w:p>
        </w:tc>
      </w:tr>
      <w:tr>
        <w:tc>
          <w:tcPr>
            <w:tcW w:type="dxa" w:w="2880"/>
            <w:tcMar>
              <w:top w:w="100" w:type="dxa"/>
              <w:start w:w="110" w:type="dxa"/>
              <w:bottom w:w="100" w:type="dxa"/>
              <w:end w:w="110" w:type="dxa"/>
            </w:tcMar>
            <w:vAlign w:val="center"/>
          </w:tcPr>
          <w:p>
            <w:r>
              <w:t>6 picklist fields on AccountTeamMember</w:t>
            </w:r>
          </w:p>
        </w:tc>
        <w:tc>
          <w:tcPr>
            <w:tcW w:type="dxa" w:w="2880"/>
            <w:tcMar>
              <w:top w:w="100" w:type="dxa"/>
              <w:start w:w="110" w:type="dxa"/>
              <w:bottom w:w="100" w:type="dxa"/>
              <w:end w:w="110" w:type="dxa"/>
            </w:tcMar>
            <w:vAlign w:val="center"/>
          </w:tcPr>
          <w:p>
            <w:r>
              <w:t>1 rule masks 6 fields</w:t>
            </w:r>
          </w:p>
        </w:tc>
        <w:tc>
          <w:tcPr>
            <w:tcW w:type="dxa" w:w="3384"/>
            <w:tcMar>
              <w:top w:w="100" w:type="dxa"/>
              <w:start w:w="110" w:type="dxa"/>
              <w:bottom w:w="100" w:type="dxa"/>
              <w:end w:w="110" w:type="dxa"/>
            </w:tcMar>
            <w:vAlign w:val="center"/>
          </w:tcPr>
          <w:p>
            <w:r>
              <w:t>All six fields share the picklist type and are combined into one rule.</w:t>
            </w:r>
          </w:p>
        </w:tc>
      </w:tr>
      <w:tr>
        <w:tc>
          <w:tcPr>
            <w:tcW w:type="dxa" w:w="2880"/>
            <w:tcMar>
              <w:top w:w="100" w:type="dxa"/>
              <w:start w:w="110" w:type="dxa"/>
              <w:bottom w:w="100" w:type="dxa"/>
              <w:end w:w="110" w:type="dxa"/>
            </w:tcMar>
            <w:vAlign w:val="center"/>
            <w:shd w:fill="F5F8FB"/>
          </w:tcPr>
          <w:p>
            <w:r>
              <w:t>133 fields across 5 destination objects</w:t>
            </w:r>
          </w:p>
        </w:tc>
        <w:tc>
          <w:tcPr>
            <w:tcW w:type="dxa" w:w="2880"/>
            <w:tcMar>
              <w:top w:w="100" w:type="dxa"/>
              <w:start w:w="110" w:type="dxa"/>
              <w:bottom w:w="100" w:type="dxa"/>
              <w:end w:w="110" w:type="dxa"/>
            </w:tcMar>
            <w:vAlign w:val="center"/>
            <w:shd w:fill="F5F8FB"/>
          </w:tcPr>
          <w:p>
            <w:r>
              <w:t>12 rules mask 133 fields</w:t>
            </w:r>
          </w:p>
        </w:tc>
        <w:tc>
          <w:tcPr>
            <w:tcW w:type="dxa" w:w="3384"/>
            <w:tcMar>
              <w:top w:w="100" w:type="dxa"/>
              <w:start w:w="110" w:type="dxa"/>
              <w:bottom w:w="100" w:type="dxa"/>
              <w:end w:w="110" w:type="dxa"/>
            </w:tcMar>
            <w:vAlign w:val="center"/>
            <w:shd w:fill="F5F8FB"/>
          </w:tcPr>
          <w:p>
            <w:r>
              <w:t>Vault counts each distinct compatible field type within each destination object as a separate cloned rule.</w:t>
            </w:r>
          </w:p>
        </w:tc>
      </w:tr>
    </w:tbl>
    <w:p>
      <w:r>
        <w:rPr>
          <w:b/>
        </w:rPr>
        <w:t xml:space="preserve">Important: </w:t>
      </w:r>
      <w:r>
        <w:t>The number of rules that will be created is not the same as the number of selected fields. It is the sum of applicable field-type groups across the selected destination objects.</w:t>
      </w:r>
    </w:p>
    <w:p>
      <w:pPr>
        <w:pStyle w:val="Heading1"/>
      </w:pPr>
      <w:r>
        <w:t>Before you begin</w:t>
      </w:r>
    </w:p>
    <w:p>
      <w:pPr>
        <w:pStyle w:val="ListBullet"/>
      </w:pPr>
      <w:r>
        <w:t>Confirm that the required source masking rules exist in the selected Salesforce org.</w:t>
      </w:r>
    </w:p>
    <w:p>
      <w:pPr>
        <w:pStyle w:val="ListBullet"/>
      </w:pPr>
      <w:r>
        <w:t>Identify the destination objects and fields to which the rules must be cloned.</w:t>
      </w:r>
    </w:p>
    <w:p>
      <w:pPr>
        <w:pStyle w:val="ListBullet"/>
      </w:pPr>
      <w:r>
        <w:t>Ensure each destination field has the same field type as the selected source rule.</w:t>
      </w:r>
    </w:p>
    <w:p>
      <w:pPr>
        <w:pStyle w:val="ListBullet"/>
      </w:pPr>
      <w:r>
        <w:t>Review fields marked as already having masking configured; these fields are not available for a new cloned assignment in the observed flow.</w:t>
      </w:r>
    </w:p>
    <w:p>
      <w:pPr>
        <w:pStyle w:val="Heading1"/>
      </w:pPr>
      <w:r>
        <w:t>Open the clone workflow</w:t>
      </w:r>
    </w:p>
    <w:p>
      <w:pPr>
        <w:pStyle w:val="ListNumber"/>
      </w:pPr>
      <w:r>
        <w:t>From the left navigation, expand Masking and select Bulk Clone Rules.</w:t>
      </w:r>
    </w:p>
    <w:p>
      <w:pPr>
        <w:pStyle w:val="ListNumber"/>
      </w:pPr>
      <w:r>
        <w:t>Select the Salesforce org and select Apply.</w:t>
      </w:r>
    </w:p>
    <w:p>
      <w:pPr>
        <w:pStyle w:val="ListNumber"/>
      </w:pPr>
      <w:r>
        <w:t>Select Clone to Obj to open the Clone Masking Rules to Objects workflow.</w:t>
      </w:r>
    </w:p>
    <w:p>
      <w:pPr>
        <w:keepLines/>
        <w:jc w:val="center"/>
      </w:pPr>
      <w:r>
        <w:drawing>
          <wp:inline xmlns:a="http://schemas.openxmlformats.org/drawingml/2006/main" xmlns:pic="http://schemas.openxmlformats.org/drawingml/2006/picture">
            <wp:extent cx="6172200" cy="3021895"/>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6172200" cy="3021895"/>
                    </a:xfrm>
                    <a:prstGeom prst="rect"/>
                  </pic:spPr>
                </pic:pic>
              </a:graphicData>
            </a:graphic>
          </wp:inline>
        </w:drawing>
      </w:r>
    </w:p>
    <w:p>
      <w:pPr>
        <w:spacing w:before="80" w:after="160"/>
        <w:jc w:val="center"/>
      </w:pPr>
      <w:r>
        <w:rPr>
          <w:b/>
          <w:color w:val="595959"/>
          <w:sz w:val="18"/>
        </w:rPr>
        <w:t>Figure 1  Bulk Clone Rules page and Clone to Obj action</w:t>
      </w:r>
    </w:p>
    <w:p>
      <w:pPr>
        <w:pStyle w:val="Heading1"/>
      </w:pPr>
      <w:r>
        <w:t>Select source masking rules</w:t>
      </w:r>
    </w:p>
    <w:p>
      <w:r>
        <w:t>The Select Rules step lists available masking rules from the selected source org.</w:t>
      </w:r>
    </w:p>
    <w:p>
      <w:pPr>
        <w:pStyle w:val="ListNumber"/>
      </w:pPr>
      <w:r>
        <w:t>Use the object filter or search controls to locate the required source rule.</w:t>
      </w:r>
    </w:p>
    <w:p>
      <w:pPr>
        <w:pStyle w:val="ListNumber"/>
      </w:pPr>
      <w:r>
        <w:t>Select a masking rule. Only one rule for each field type can be selected.</w:t>
      </w:r>
    </w:p>
    <w:p>
      <w:pPr>
        <w:pStyle w:val="ListNumber"/>
      </w:pPr>
      <w:r>
        <w:t>Review the selected-rule count and select Continue.</w:t>
      </w:r>
    </w:p>
    <w:p>
      <w:pPr>
        <w:keepLines/>
        <w:jc w:val="center"/>
      </w:pPr>
      <w:r>
        <w:drawing>
          <wp:inline xmlns:a="http://schemas.openxmlformats.org/drawingml/2006/main" xmlns:pic="http://schemas.openxmlformats.org/drawingml/2006/picture">
            <wp:extent cx="6172200" cy="3021895"/>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6172200" cy="3021895"/>
                    </a:xfrm>
                    <a:prstGeom prst="rect"/>
                  </pic:spPr>
                </pic:pic>
              </a:graphicData>
            </a:graphic>
          </wp:inline>
        </w:drawing>
      </w:r>
    </w:p>
    <w:p>
      <w:pPr>
        <w:spacing w:before="80" w:after="160"/>
        <w:jc w:val="center"/>
      </w:pPr>
      <w:r>
        <w:rPr>
          <w:b/>
          <w:color w:val="595959"/>
          <w:sz w:val="18"/>
        </w:rPr>
        <w:t>Figure 2  Available source masking rules</w:t>
      </w:r>
    </w:p>
    <w:p>
      <w:pPr>
        <w:keepLines/>
        <w:jc w:val="center"/>
      </w:pPr>
      <w:r>
        <w:drawing>
          <wp:inline xmlns:a="http://schemas.openxmlformats.org/drawingml/2006/main" xmlns:pic="http://schemas.openxmlformats.org/drawingml/2006/picture">
            <wp:extent cx="6172200" cy="3021895"/>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6172200" cy="3021895"/>
                    </a:xfrm>
                    <a:prstGeom prst="rect"/>
                  </pic:spPr>
                </pic:pic>
              </a:graphicData>
            </a:graphic>
          </wp:inline>
        </w:drawing>
      </w:r>
    </w:p>
    <w:p>
      <w:pPr>
        <w:spacing w:before="80" w:after="160"/>
        <w:jc w:val="center"/>
      </w:pPr>
      <w:r>
        <w:rPr>
          <w:b/>
          <w:color w:val="595959"/>
          <w:sz w:val="18"/>
        </w:rPr>
        <w:t>Figure 3  One source masking rule selected</w:t>
      </w:r>
    </w:p>
    <w:p>
      <w:pPr>
        <w:pStyle w:val="Heading1"/>
      </w:pPr>
      <w:r>
        <w:t>Add destination objects</w:t>
      </w:r>
    </w:p>
    <w:p>
      <w:r>
        <w:t>The Destination Objects step is used to select target objects and configure compatible fields for each object.</w:t>
      </w:r>
    </w:p>
    <w:p>
      <w:pPr>
        <w:pStyle w:val="ListNumber"/>
      </w:pPr>
      <w:r>
        <w:t>Select Add Object.</w:t>
      </w:r>
    </w:p>
    <w:p>
      <w:pPr>
        <w:pStyle w:val="ListNumber"/>
      </w:pPr>
      <w:r>
        <w:t>Search for or select the required destination objects.</w:t>
      </w:r>
    </w:p>
    <w:p>
      <w:pPr>
        <w:pStyle w:val="ListNumber"/>
      </w:pPr>
      <w:r>
        <w:t>Select Add to include the objects in the destination configuration.</w:t>
      </w:r>
    </w:p>
    <w:p>
      <w:pPr>
        <w:keepLines/>
        <w:jc w:val="center"/>
      </w:pPr>
      <w:r>
        <w:drawing>
          <wp:inline xmlns:a="http://schemas.openxmlformats.org/drawingml/2006/main" xmlns:pic="http://schemas.openxmlformats.org/drawingml/2006/picture">
            <wp:extent cx="6172200" cy="3021895"/>
            <wp:docPr id="4" name="Picture 4"/>
            <wp:cNvGraphicFramePr>
              <a:graphicFrameLocks noChangeAspect="1"/>
            </wp:cNvGraphicFramePr>
            <a:graphic>
              <a:graphicData uri="http://schemas.openxmlformats.org/drawingml/2006/picture">
                <pic:pic>
                  <pic:nvPicPr>
                    <pic:cNvPr id="0" name="4.png"/>
                    <pic:cNvPicPr/>
                  </pic:nvPicPr>
                  <pic:blipFill>
                    <a:blip r:embed="rId12"/>
                    <a:stretch>
                      <a:fillRect/>
                    </a:stretch>
                  </pic:blipFill>
                  <pic:spPr>
                    <a:xfrm>
                      <a:off x="0" y="0"/>
                      <a:ext cx="6172200" cy="3021895"/>
                    </a:xfrm>
                    <a:prstGeom prst="rect"/>
                  </pic:spPr>
                </pic:pic>
              </a:graphicData>
            </a:graphic>
          </wp:inline>
        </w:drawing>
      </w:r>
    </w:p>
    <w:p>
      <w:pPr>
        <w:spacing w:before="80" w:after="160"/>
        <w:jc w:val="center"/>
      </w:pPr>
      <w:r>
        <w:rPr>
          <w:b/>
          <w:color w:val="595959"/>
          <w:sz w:val="18"/>
        </w:rPr>
        <w:t>Figure 4  Destination Objects step before objects are added</w:t>
      </w:r>
    </w:p>
    <w:p>
      <w:pPr>
        <w:keepLines/>
        <w:jc w:val="center"/>
      </w:pPr>
      <w:r>
        <w:drawing>
          <wp:inline xmlns:a="http://schemas.openxmlformats.org/drawingml/2006/main" xmlns:pic="http://schemas.openxmlformats.org/drawingml/2006/picture">
            <wp:extent cx="6172200" cy="3021895"/>
            <wp:docPr id="5" name="Picture 5"/>
            <wp:cNvGraphicFramePr>
              <a:graphicFrameLocks noChangeAspect="1"/>
            </wp:cNvGraphicFramePr>
            <a:graphic>
              <a:graphicData uri="http://schemas.openxmlformats.org/drawingml/2006/picture">
                <pic:pic>
                  <pic:nvPicPr>
                    <pic:cNvPr id="0" name="5.png"/>
                    <pic:cNvPicPr/>
                  </pic:nvPicPr>
                  <pic:blipFill>
                    <a:blip r:embed="rId13"/>
                    <a:stretch>
                      <a:fillRect/>
                    </a:stretch>
                  </pic:blipFill>
                  <pic:spPr>
                    <a:xfrm>
                      <a:off x="0" y="0"/>
                      <a:ext cx="6172200" cy="3021895"/>
                    </a:xfrm>
                    <a:prstGeom prst="rect"/>
                  </pic:spPr>
                </pic:pic>
              </a:graphicData>
            </a:graphic>
          </wp:inline>
        </w:drawing>
      </w:r>
    </w:p>
    <w:p>
      <w:pPr>
        <w:spacing w:before="80" w:after="160"/>
        <w:jc w:val="center"/>
      </w:pPr>
      <w:r>
        <w:rPr>
          <w:b/>
          <w:color w:val="595959"/>
          <w:sz w:val="18"/>
        </w:rPr>
        <w:t>Figure 5  Object Selection dialog</w:t>
      </w:r>
    </w:p>
    <w:p>
      <w:pPr>
        <w:keepLines/>
        <w:jc w:val="center"/>
      </w:pPr>
      <w:r>
        <w:drawing>
          <wp:inline xmlns:a="http://schemas.openxmlformats.org/drawingml/2006/main" xmlns:pic="http://schemas.openxmlformats.org/drawingml/2006/picture">
            <wp:extent cx="6172200" cy="3021895"/>
            <wp:docPr id="6" name="Picture 6"/>
            <wp:cNvGraphicFramePr>
              <a:graphicFrameLocks noChangeAspect="1"/>
            </wp:cNvGraphicFramePr>
            <a:graphic>
              <a:graphicData uri="http://schemas.openxmlformats.org/drawingml/2006/picture">
                <pic:pic>
                  <pic:nvPicPr>
                    <pic:cNvPr id="0" name="6.png"/>
                    <pic:cNvPicPr/>
                  </pic:nvPicPr>
                  <pic:blipFill>
                    <a:blip r:embed="rId14"/>
                    <a:stretch>
                      <a:fillRect/>
                    </a:stretch>
                  </pic:blipFill>
                  <pic:spPr>
                    <a:xfrm>
                      <a:off x="0" y="0"/>
                      <a:ext cx="6172200" cy="3021895"/>
                    </a:xfrm>
                    <a:prstGeom prst="rect"/>
                  </pic:spPr>
                </pic:pic>
              </a:graphicData>
            </a:graphic>
          </wp:inline>
        </w:drawing>
      </w:r>
    </w:p>
    <w:p>
      <w:pPr>
        <w:spacing w:before="80" w:after="160"/>
        <w:jc w:val="center"/>
      </w:pPr>
      <w:r>
        <w:rPr>
          <w:b/>
          <w:color w:val="595959"/>
          <w:sz w:val="18"/>
        </w:rPr>
        <w:t>Figure 6  Destination object search and available objects</w:t>
      </w:r>
    </w:p>
    <w:p>
      <w:pPr>
        <w:keepLines/>
        <w:jc w:val="center"/>
      </w:pPr>
      <w:r>
        <w:drawing>
          <wp:inline xmlns:a="http://schemas.openxmlformats.org/drawingml/2006/main" xmlns:pic="http://schemas.openxmlformats.org/drawingml/2006/picture">
            <wp:extent cx="6172200" cy="3021895"/>
            <wp:docPr id="7" name="Picture 7"/>
            <wp:cNvGraphicFramePr>
              <a:graphicFrameLocks noChangeAspect="1"/>
            </wp:cNvGraphicFramePr>
            <a:graphic>
              <a:graphicData uri="http://schemas.openxmlformats.org/drawingml/2006/picture">
                <pic:pic>
                  <pic:nvPicPr>
                    <pic:cNvPr id="0" name="7.png"/>
                    <pic:cNvPicPr/>
                  </pic:nvPicPr>
                  <pic:blipFill>
                    <a:blip r:embed="rId15"/>
                    <a:stretch>
                      <a:fillRect/>
                    </a:stretch>
                  </pic:blipFill>
                  <pic:spPr>
                    <a:xfrm>
                      <a:off x="0" y="0"/>
                      <a:ext cx="6172200" cy="3021895"/>
                    </a:xfrm>
                    <a:prstGeom prst="rect"/>
                  </pic:spPr>
                </pic:pic>
              </a:graphicData>
            </a:graphic>
          </wp:inline>
        </w:drawing>
      </w:r>
    </w:p>
    <w:p>
      <w:pPr>
        <w:spacing w:before="80" w:after="160"/>
        <w:jc w:val="center"/>
      </w:pPr>
      <w:r>
        <w:rPr>
          <w:b/>
          <w:color w:val="595959"/>
          <w:sz w:val="18"/>
        </w:rPr>
        <w:t>Figure 7  Two destination objects selected</w:t>
      </w:r>
    </w:p>
    <w:p>
      <w:pPr>
        <w:keepLines/>
        <w:jc w:val="center"/>
      </w:pPr>
      <w:r>
        <w:drawing>
          <wp:inline xmlns:a="http://schemas.openxmlformats.org/drawingml/2006/main" xmlns:pic="http://schemas.openxmlformats.org/drawingml/2006/picture">
            <wp:extent cx="6172200" cy="3026092"/>
            <wp:docPr id="8" name="Picture 8"/>
            <wp:cNvGraphicFramePr>
              <a:graphicFrameLocks noChangeAspect="1"/>
            </wp:cNvGraphicFramePr>
            <a:graphic>
              <a:graphicData uri="http://schemas.openxmlformats.org/drawingml/2006/picture">
                <pic:pic>
                  <pic:nvPicPr>
                    <pic:cNvPr id="0" name="8.png"/>
                    <pic:cNvPicPr/>
                  </pic:nvPicPr>
                  <pic:blipFill>
                    <a:blip r:embed="rId16"/>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8  Maximum of five destination objects selected</w:t>
      </w:r>
    </w:p>
    <w:p>
      <w:r>
        <w:rPr>
          <w:b/>
        </w:rPr>
        <w:t xml:space="preserve">Observed limit: </w:t>
      </w:r>
      <w:r>
        <w:t>The interface allows up to five destination objects in one clone operation. To choose another object after reaching the limit, unselect an existing object first.</w:t>
      </w:r>
    </w:p>
    <w:p>
      <w:pPr>
        <w:pStyle w:val="Heading1"/>
      </w:pPr>
      <w:r>
        <w:t>Select compatible destination fields</w:t>
      </w:r>
    </w:p>
    <w:p>
      <w:r>
        <w:t>Select each destination object tab and choose the fields that must receive the cloned rule. Vault applies a source rule only to destination fields of the same field type and displays a clone preview for the active object.</w:t>
      </w:r>
    </w:p>
    <w:p>
      <w:pPr>
        <w:pStyle w:val="ListNumber"/>
      </w:pPr>
      <w:r>
        <w:t>Open a destination object tab.</w:t>
      </w:r>
    </w:p>
    <w:p>
      <w:pPr>
        <w:pStyle w:val="ListNumber"/>
      </w:pPr>
      <w:r>
        <w:t>Select one or more eligible fields. Fields that already have masking configured are identified in the field list.</w:t>
      </w:r>
    </w:p>
    <w:p>
      <w:pPr>
        <w:pStyle w:val="ListNumber"/>
      </w:pPr>
      <w:r>
        <w:t>Repeat the selection for each destination object.</w:t>
      </w:r>
    </w:p>
    <w:p>
      <w:pPr>
        <w:pStyle w:val="ListNumber"/>
      </w:pPr>
      <w:r>
        <w:t>Confirm that the configured-object count reflects every intended destination object.</w:t>
      </w:r>
    </w:p>
    <w:p>
      <w:pPr>
        <w:keepLines/>
        <w:jc w:val="center"/>
      </w:pPr>
      <w:r>
        <w:drawing>
          <wp:inline xmlns:a="http://schemas.openxmlformats.org/drawingml/2006/main" xmlns:pic="http://schemas.openxmlformats.org/drawingml/2006/picture">
            <wp:extent cx="6172200" cy="3026092"/>
            <wp:docPr id="9" name="Picture 9"/>
            <wp:cNvGraphicFramePr>
              <a:graphicFrameLocks noChangeAspect="1"/>
            </wp:cNvGraphicFramePr>
            <a:graphic>
              <a:graphicData uri="http://schemas.openxmlformats.org/drawingml/2006/picture">
                <pic:pic>
                  <pic:nvPicPr>
                    <pic:cNvPr id="0" name="9.png"/>
                    <pic:cNvPicPr/>
                  </pic:nvPicPr>
                  <pic:blipFill>
                    <a:blip r:embed="rId17"/>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9  Configured destination objects and object-level clone preview</w:t>
      </w:r>
    </w:p>
    <w:p>
      <w:pPr>
        <w:keepLines/>
        <w:jc w:val="center"/>
      </w:pPr>
      <w:r>
        <w:drawing>
          <wp:inline xmlns:a="http://schemas.openxmlformats.org/drawingml/2006/main" xmlns:pic="http://schemas.openxmlformats.org/drawingml/2006/picture">
            <wp:extent cx="6172200" cy="3026092"/>
            <wp:docPr id="10" name="Picture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10  Fields with existing masking and required field selection</w:t>
      </w:r>
    </w:p>
    <w:p>
      <w:pPr>
        <w:keepLines/>
        <w:jc w:val="center"/>
      </w:pPr>
      <w:r>
        <w:drawing>
          <wp:inline xmlns:a="http://schemas.openxmlformats.org/drawingml/2006/main" xmlns:pic="http://schemas.openxmlformats.org/drawingml/2006/picture">
            <wp:extent cx="6172200" cy="3026092"/>
            <wp:docPr id="11" name="Picture 11"/>
            <wp:cNvGraphicFramePr>
              <a:graphicFrameLocks noChangeAspect="1"/>
            </wp:cNvGraphicFramePr>
            <a:graphic>
              <a:graphicData uri="http://schemas.openxmlformats.org/drawingml/2006/picture">
                <pic:pic>
                  <pic:nvPicPr>
                    <pic:cNvPr id="0" name="11.png"/>
                    <pic:cNvPicPr/>
                  </pic:nvPicPr>
                  <pic:blipFill>
                    <a:blip r:embed="rId19"/>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11  Case preview showing field groups and cloned rule names</w:t>
      </w:r>
    </w:p>
    <w:p>
      <w:pPr>
        <w:pStyle w:val="Heading1"/>
      </w:pPr>
      <w:r>
        <w:t>Understand the object-level readiness summary</w:t>
      </w:r>
    </w:p>
    <w:p>
      <w:r>
        <w:t>For AccountTeamMember, all six selected fields are picklist fields. Because they share the same compatible field type, Vault groups them under one cloned substitution rule.</w:t>
      </w:r>
    </w:p>
    <w:p>
      <w:pPr>
        <w:keepLines/>
        <w:jc w:val="center"/>
      </w:pPr>
      <w:r>
        <w:drawing>
          <wp:inline xmlns:a="http://schemas.openxmlformats.org/drawingml/2006/main" xmlns:pic="http://schemas.openxmlformats.org/drawingml/2006/picture">
            <wp:extent cx="6172200" cy="3026092"/>
            <wp:docPr id="12" name="Picture 12"/>
            <wp:cNvGraphicFramePr>
              <a:graphicFrameLocks noChangeAspect="1"/>
            </wp:cNvGraphicFramePr>
            <a:graphic>
              <a:graphicData uri="http://schemas.openxmlformats.org/drawingml/2006/picture">
                <pic:pic>
                  <pic:nvPicPr>
                    <pic:cNvPr id="0" name="12.png"/>
                    <pic:cNvPicPr/>
                  </pic:nvPicPr>
                  <pic:blipFill>
                    <a:blip r:embed="rId20"/>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12  Six selected picklist fields on AccountTeamMember</w:t>
      </w:r>
    </w:p>
    <w:p>
      <w:pPr>
        <w:keepLines/>
        <w:jc w:val="center"/>
      </w:pPr>
      <w:r>
        <w:drawing>
          <wp:inline xmlns:a="http://schemas.openxmlformats.org/drawingml/2006/main" xmlns:pic="http://schemas.openxmlformats.org/drawingml/2006/picture">
            <wp:extent cx="6172200" cy="3026092"/>
            <wp:docPr id="13" name="Picture 13"/>
            <wp:cNvGraphicFramePr>
              <a:graphicFrameLocks noChangeAspect="1"/>
            </wp:cNvGraphicFramePr>
            <a:graphic>
              <a:graphicData uri="http://schemas.openxmlformats.org/drawingml/2006/picture">
                <pic:pic>
                  <pic:nvPicPr>
                    <pic:cNvPr id="0" name="13.png"/>
                    <pic:cNvPicPr/>
                  </pic:nvPicPr>
                  <pic:blipFill>
                    <a:blip r:embed="rId21"/>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13  One cloned rule configured to mask six AccountTeamMember fields</w:t>
      </w:r>
    </w:p>
    <w:p>
      <w:r>
        <w:rPr>
          <w:b/>
        </w:rPr>
        <w:t xml:space="preserve">Displayed summary: </w:t>
      </w:r>
      <w:r>
        <w:t>Ready to clone: 1 rule will be created, masking 6 fields on AccountTeamMember.</w:t>
      </w:r>
    </w:p>
    <w:p>
      <w:pPr>
        <w:pStyle w:val="Heading1"/>
      </w:pPr>
      <w:r>
        <w:t>Review the complete clone summary</w:t>
      </w:r>
    </w:p>
    <w:p>
      <w:r>
        <w:t>Select Continue to open Summary. Review the source org, selected masking rules, destination objects, field-to-rule mappings, masking styles, source objects, and clone eligibility before starting the operation.</w:t>
      </w:r>
    </w:p>
    <w:p>
      <w:pPr>
        <w:pStyle w:val="ListNumber"/>
      </w:pPr>
      <w:r>
        <w:t>Confirm that each selected source rule shows the expected field type, masking style, and Cloneable status.</w:t>
      </w:r>
    </w:p>
    <w:p>
      <w:pPr>
        <w:pStyle w:val="ListNumber"/>
      </w:pPr>
      <w:r>
        <w:t>Review each destination object and its selected field count.</w:t>
      </w:r>
    </w:p>
    <w:p>
      <w:pPr>
        <w:pStyle w:val="ListNumber"/>
      </w:pPr>
      <w:r>
        <w:t>Verify the source-to-cloned rule names and the masking style assigned to each field.</w:t>
      </w:r>
    </w:p>
    <w:p>
      <w:pPr>
        <w:pStyle w:val="ListNumber"/>
      </w:pPr>
      <w:r>
        <w:t>Review the final Ready to clone summary and select Clone.</w:t>
      </w:r>
    </w:p>
    <w:p>
      <w:pPr>
        <w:keepLines/>
        <w:jc w:val="center"/>
      </w:pPr>
      <w:r>
        <w:drawing>
          <wp:inline xmlns:a="http://schemas.openxmlformats.org/drawingml/2006/main" xmlns:pic="http://schemas.openxmlformats.org/drawingml/2006/picture">
            <wp:extent cx="6172200" cy="3026092"/>
            <wp:docPr id="14" name="Picture 14"/>
            <wp:cNvGraphicFramePr>
              <a:graphicFrameLocks noChangeAspect="1"/>
            </wp:cNvGraphicFramePr>
            <a:graphic>
              <a:graphicData uri="http://schemas.openxmlformats.org/drawingml/2006/picture">
                <pic:pic>
                  <pic:nvPicPr>
                    <pic:cNvPr id="0" name="14.png"/>
                    <pic:cNvPicPr/>
                  </pic:nvPicPr>
                  <pic:blipFill>
                    <a:blip r:embed="rId22"/>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14  Summary with source rules, destination objects, and clone preview</w:t>
      </w:r>
    </w:p>
    <w:p>
      <w:pPr>
        <w:keepLines/>
        <w:jc w:val="center"/>
      </w:pPr>
      <w:r>
        <w:drawing>
          <wp:inline xmlns:a="http://schemas.openxmlformats.org/drawingml/2006/main" xmlns:pic="http://schemas.openxmlformats.org/drawingml/2006/picture">
            <wp:extent cx="6172200" cy="3026092"/>
            <wp:docPr id="15" name="Picture 15"/>
            <wp:cNvGraphicFramePr>
              <a:graphicFrameLocks noChangeAspect="1"/>
            </wp:cNvGraphicFramePr>
            <a:graphic>
              <a:graphicData uri="http://schemas.openxmlformats.org/drawingml/2006/picture">
                <pic:pic>
                  <pic:nvPicPr>
                    <pic:cNvPr id="0" name="15.png"/>
                    <pic:cNvPicPr/>
                  </pic:nvPicPr>
                  <pic:blipFill>
                    <a:blip r:embed="rId23"/>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15  Summary mappings for Case, Opportunity, and Account</w:t>
      </w:r>
    </w:p>
    <w:p>
      <w:pPr>
        <w:keepLines/>
        <w:jc w:val="center"/>
      </w:pPr>
      <w:r>
        <w:drawing>
          <wp:inline xmlns:a="http://schemas.openxmlformats.org/drawingml/2006/main" xmlns:pic="http://schemas.openxmlformats.org/drawingml/2006/picture">
            <wp:extent cx="6172200" cy="3026092"/>
            <wp:docPr id="16" name="Picture 16"/>
            <wp:cNvGraphicFramePr>
              <a:graphicFrameLocks noChangeAspect="1"/>
            </wp:cNvGraphicFramePr>
            <a:graphic>
              <a:graphicData uri="http://schemas.openxmlformats.org/drawingml/2006/picture">
                <pic:pic>
                  <pic:nvPicPr>
                    <pic:cNvPr id="0" name="16.png"/>
                    <pic:cNvPicPr/>
                  </pic:nvPicPr>
                  <pic:blipFill>
                    <a:blip r:embed="rId24"/>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16  Summary mappings for Account and AccountTeamMember</w:t>
      </w:r>
    </w:p>
    <w:p>
      <w:pPr>
        <w:keepLines/>
        <w:jc w:val="center"/>
      </w:pPr>
      <w:r>
        <w:drawing>
          <wp:inline xmlns:a="http://schemas.openxmlformats.org/drawingml/2006/main" xmlns:pic="http://schemas.openxmlformats.org/drawingml/2006/picture">
            <wp:extent cx="6172200" cy="3026092"/>
            <wp:docPr id="17" name="Picture 17"/>
            <wp:cNvGraphicFramePr>
              <a:graphicFrameLocks noChangeAspect="1"/>
            </wp:cNvGraphicFramePr>
            <a:graphic>
              <a:graphicData uri="http://schemas.openxmlformats.org/drawingml/2006/picture">
                <pic:pic>
                  <pic:nvPicPr>
                    <pic:cNvPr id="0" name="17.png"/>
                    <pic:cNvPicPr/>
                  </pic:nvPicPr>
                  <pic:blipFill>
                    <a:blip r:embed="rId25"/>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17  Final readiness summary across five destination objects</w:t>
      </w:r>
    </w:p>
    <w:p>
      <w:r>
        <w:rPr>
          <w:b/>
        </w:rPr>
        <w:t xml:space="preserve">Displayed summary: </w:t>
      </w:r>
      <w:r>
        <w:t>Ready to clone: 12 rules will be created, masking 133 fields across 5 objects.</w:t>
      </w:r>
    </w:p>
    <w:p>
      <w:pPr>
        <w:pStyle w:val="Heading1"/>
      </w:pPr>
      <w:r>
        <w:t>Start and monitor the clone operation</w:t>
      </w:r>
    </w:p>
    <w:p>
      <w:r>
        <w:t>After Clone is selected, Vault confirms that the operation was initiated and directs the user to Masking &gt; Bulk Clone Rules. A separate job is created for each destination object.</w:t>
      </w:r>
    </w:p>
    <w:p>
      <w:pPr>
        <w:keepLines/>
        <w:jc w:val="center"/>
      </w:pPr>
      <w:r>
        <w:drawing>
          <wp:inline xmlns:a="http://schemas.openxmlformats.org/drawingml/2006/main" xmlns:pic="http://schemas.openxmlformats.org/drawingml/2006/picture">
            <wp:extent cx="6172200" cy="3026092"/>
            <wp:docPr id="18" name="Picture 18"/>
            <wp:cNvGraphicFramePr>
              <a:graphicFrameLocks noChangeAspect="1"/>
            </wp:cNvGraphicFramePr>
            <a:graphic>
              <a:graphicData uri="http://schemas.openxmlformats.org/drawingml/2006/picture">
                <pic:pic>
                  <pic:nvPicPr>
                    <pic:cNvPr id="0" name="18.png"/>
                    <pic:cNvPicPr/>
                  </pic:nvPicPr>
                  <pic:blipFill>
                    <a:blip r:embed="rId26"/>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18  Clone operation initiated successfully</w:t>
      </w:r>
    </w:p>
    <w:p>
      <w:pPr>
        <w:keepLines/>
        <w:jc w:val="center"/>
      </w:pPr>
      <w:r>
        <w:drawing>
          <wp:inline xmlns:a="http://schemas.openxmlformats.org/drawingml/2006/main" xmlns:pic="http://schemas.openxmlformats.org/drawingml/2006/picture">
            <wp:extent cx="6172200" cy="3026092"/>
            <wp:docPr id="19" name="Picture 19"/>
            <wp:cNvGraphicFramePr>
              <a:graphicFrameLocks noChangeAspect="1"/>
            </wp:cNvGraphicFramePr>
            <a:graphic>
              <a:graphicData uri="http://schemas.openxmlformats.org/drawingml/2006/picture">
                <pic:pic>
                  <pic:nvPicPr>
                    <pic:cNvPr id="0" name="19.png"/>
                    <pic:cNvPicPr/>
                  </pic:nvPicPr>
                  <pic:blipFill>
                    <a:blip r:embed="rId27"/>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19  Bulk clone jobs created for the destination objects</w:t>
      </w:r>
    </w:p>
    <w:p>
      <w:pPr>
        <w:keepLines/>
        <w:jc w:val="center"/>
      </w:pPr>
      <w:r>
        <w:drawing>
          <wp:inline xmlns:a="http://schemas.openxmlformats.org/drawingml/2006/main" xmlns:pic="http://schemas.openxmlformats.org/drawingml/2006/picture">
            <wp:extent cx="6172200" cy="3026092"/>
            <wp:docPr id="20" name="Picture 20"/>
            <wp:cNvGraphicFramePr>
              <a:graphicFrameLocks noChangeAspect="1"/>
            </wp:cNvGraphicFramePr>
            <a:graphic>
              <a:graphicData uri="http://schemas.openxmlformats.org/drawingml/2006/picture">
                <pic:pic>
                  <pic:nvPicPr>
                    <pic:cNvPr id="0" name="20.png"/>
                    <pic:cNvPicPr/>
                  </pic:nvPicPr>
                  <pic:blipFill>
                    <a:blip r:embed="rId28"/>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20  Bulk Clone Rules list with destination-specific jobs</w:t>
      </w:r>
    </w:p>
    <w:p>
      <w:pPr>
        <w:keepLines/>
        <w:jc w:val="center"/>
      </w:pPr>
      <w:r>
        <w:drawing>
          <wp:inline xmlns:a="http://schemas.openxmlformats.org/drawingml/2006/main" xmlns:pic="http://schemas.openxmlformats.org/drawingml/2006/picture">
            <wp:extent cx="6172200" cy="3026092"/>
            <wp:docPr id="21" name="Picture 21"/>
            <wp:cNvGraphicFramePr>
              <a:graphicFrameLocks noChangeAspect="1"/>
            </wp:cNvGraphicFramePr>
            <a:graphic>
              <a:graphicData uri="http://schemas.openxmlformats.org/drawingml/2006/picture">
                <pic:pic>
                  <pic:nvPicPr>
                    <pic:cNvPr id="0" name="21.png"/>
                    <pic:cNvPicPr/>
                  </pic:nvPicPr>
                  <pic:blipFill>
                    <a:blip r:embed="rId29"/>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21  Job statuses and actions</w:t>
      </w:r>
    </w:p>
    <w:p>
      <w:pPr>
        <w:keepLines/>
        <w:jc w:val="center"/>
      </w:pPr>
      <w:r>
        <w:drawing>
          <wp:inline xmlns:a="http://schemas.openxmlformats.org/drawingml/2006/main" xmlns:pic="http://schemas.openxmlformats.org/drawingml/2006/picture">
            <wp:extent cx="6172200" cy="3026092"/>
            <wp:docPr id="22" name="Picture 22"/>
            <wp:cNvGraphicFramePr>
              <a:graphicFrameLocks noChangeAspect="1"/>
            </wp:cNvGraphicFramePr>
            <a:graphic>
              <a:graphicData uri="http://schemas.openxmlformats.org/drawingml/2006/picture">
                <pic:pic>
                  <pic:nvPicPr>
                    <pic:cNvPr id="0" name="22.png"/>
                    <pic:cNvPicPr/>
                  </pic:nvPicPr>
                  <pic:blipFill>
                    <a:blip r:embed="rId30"/>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22  Available action for an unsuccessful bulk clone job</w:t>
      </w:r>
    </w:p>
    <w:p>
      <w:pPr>
        <w:pStyle w:val="Heading1"/>
      </w:pPr>
      <w:r>
        <w:t>Retry an unsuccessful job</w:t>
      </w:r>
    </w:p>
    <w:p>
      <w:r>
        <w:t>If a destination-specific bulk clone job does not complete successfully, use the Retry action for that job.</w:t>
      </w:r>
    </w:p>
    <w:p>
      <w:pPr>
        <w:pStyle w:val="ListNumber"/>
      </w:pPr>
      <w:r>
        <w:t>Locate the unsuccessful job in Bulk Clone Rules.</w:t>
      </w:r>
    </w:p>
    <w:p>
      <w:pPr>
        <w:pStyle w:val="ListNumber"/>
      </w:pPr>
      <w:r>
        <w:t>Select the Retry action and confirm the operation when prompted.</w:t>
      </w:r>
    </w:p>
    <w:p>
      <w:pPr>
        <w:pStyle w:val="ListNumber"/>
      </w:pPr>
      <w:r>
        <w:t>Verify the confirmation message and monitor the updated Last Run Date, status, and retry result.</w:t>
      </w:r>
    </w:p>
    <w:p>
      <w:pPr>
        <w:keepLines/>
        <w:jc w:val="center"/>
      </w:pPr>
      <w:r>
        <w:drawing>
          <wp:inline xmlns:a="http://schemas.openxmlformats.org/drawingml/2006/main" xmlns:pic="http://schemas.openxmlformats.org/drawingml/2006/picture">
            <wp:extent cx="6172200" cy="3026092"/>
            <wp:docPr id="23" name="Picture 23"/>
            <wp:cNvGraphicFramePr>
              <a:graphicFrameLocks noChangeAspect="1"/>
            </wp:cNvGraphicFramePr>
            <a:graphic>
              <a:graphicData uri="http://schemas.openxmlformats.org/drawingml/2006/picture">
                <pic:pic>
                  <pic:nvPicPr>
                    <pic:cNvPr id="0" name="23.png"/>
                    <pic:cNvPicPr/>
                  </pic:nvPicPr>
                  <pic:blipFill>
                    <a:blip r:embed="rId31"/>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23  Retry initiated for the selected bulk clone job</w:t>
      </w:r>
    </w:p>
    <w:p>
      <w:pPr>
        <w:keepLines/>
        <w:jc w:val="center"/>
      </w:pPr>
      <w:r>
        <w:drawing>
          <wp:inline xmlns:a="http://schemas.openxmlformats.org/drawingml/2006/main" xmlns:pic="http://schemas.openxmlformats.org/drawingml/2006/picture">
            <wp:extent cx="6172200" cy="3026092"/>
            <wp:docPr id="24" name="Picture 24"/>
            <wp:cNvGraphicFramePr>
              <a:graphicFrameLocks noChangeAspect="1"/>
            </wp:cNvGraphicFramePr>
            <a:graphic>
              <a:graphicData uri="http://schemas.openxmlformats.org/drawingml/2006/picture">
                <pic:pic>
                  <pic:nvPicPr>
                    <pic:cNvPr id="0" name="24.png"/>
                    <pic:cNvPicPr/>
                  </pic:nvPicPr>
                  <pic:blipFill>
                    <a:blip r:embed="rId32"/>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24  Bulk clone job list after retry</w:t>
      </w:r>
    </w:p>
    <w:p>
      <w:pPr>
        <w:pStyle w:val="Heading1"/>
      </w:pPr>
      <w:r>
        <w:t>Review bulk clone job details</w:t>
      </w:r>
    </w:p>
    <w:p>
      <w:r>
        <w:t>Use the job information action to review the bulk job ID, operation type, destination, overall status, retry count, and field-level outcomes. The details identify the source and cloned rule, object, masking style, masking value, and remarks for each field.</w:t>
      </w:r>
    </w:p>
    <w:p>
      <w:pPr>
        <w:keepLines/>
        <w:jc w:val="center"/>
      </w:pPr>
      <w:r>
        <w:drawing>
          <wp:inline xmlns:a="http://schemas.openxmlformats.org/drawingml/2006/main" xmlns:pic="http://schemas.openxmlformats.org/drawingml/2006/picture">
            <wp:extent cx="6172200" cy="3026092"/>
            <wp:docPr id="25" name="Picture 25"/>
            <wp:cNvGraphicFramePr>
              <a:graphicFrameLocks noChangeAspect="1"/>
            </wp:cNvGraphicFramePr>
            <a:graphic>
              <a:graphicData uri="http://schemas.openxmlformats.org/drawingml/2006/picture">
                <pic:pic>
                  <pic:nvPicPr>
                    <pic:cNvPr id="0" name="25.png"/>
                    <pic:cNvPicPr/>
                  </pic:nvPicPr>
                  <pic:blipFill>
                    <a:blip r:embed="rId33"/>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25  Bulk clone job information</w:t>
      </w:r>
    </w:p>
    <w:p>
      <w:pPr>
        <w:keepLines/>
        <w:jc w:val="center"/>
      </w:pPr>
      <w:r>
        <w:drawing>
          <wp:inline xmlns:a="http://schemas.openxmlformats.org/drawingml/2006/main" xmlns:pic="http://schemas.openxmlformats.org/drawingml/2006/picture">
            <wp:extent cx="6172200" cy="3026092"/>
            <wp:docPr id="26" name="Picture 26"/>
            <wp:cNvGraphicFramePr>
              <a:graphicFrameLocks noChangeAspect="1"/>
            </wp:cNvGraphicFramePr>
            <a:graphic>
              <a:graphicData uri="http://schemas.openxmlformats.org/drawingml/2006/picture">
                <pic:pic>
                  <pic:nvPicPr>
                    <pic:cNvPr id="0" name="26.png"/>
                    <pic:cNvPicPr/>
                  </pic:nvPicPr>
                  <pic:blipFill>
                    <a:blip r:embed="rId34"/>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26  Partially failed job with field-level remarks</w:t>
      </w:r>
    </w:p>
    <w:p>
      <w:pPr>
        <w:keepLines/>
        <w:jc w:val="center"/>
      </w:pPr>
      <w:r>
        <w:drawing>
          <wp:inline xmlns:a="http://schemas.openxmlformats.org/drawingml/2006/main" xmlns:pic="http://schemas.openxmlformats.org/drawingml/2006/picture">
            <wp:extent cx="6172200" cy="3026092"/>
            <wp:docPr id="27" name="Picture 27"/>
            <wp:cNvGraphicFramePr>
              <a:graphicFrameLocks noChangeAspect="1"/>
            </wp:cNvGraphicFramePr>
            <a:graphic>
              <a:graphicData uri="http://schemas.openxmlformats.org/drawingml/2006/picture">
                <pic:pic>
                  <pic:nvPicPr>
                    <pic:cNvPr id="0" name="27.png"/>
                    <pic:cNvPicPr/>
                  </pic:nvPicPr>
                  <pic:blipFill>
                    <a:blip r:embed="rId35"/>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27  Bulk Clone Rules list after job-detail review</w:t>
      </w:r>
    </w:p>
    <w:p>
      <w:pPr>
        <w:keepLines/>
        <w:jc w:val="center"/>
      </w:pPr>
      <w:r>
        <w:drawing>
          <wp:inline xmlns:a="http://schemas.openxmlformats.org/drawingml/2006/main" xmlns:pic="http://schemas.openxmlformats.org/drawingml/2006/picture">
            <wp:extent cx="6172200" cy="3026092"/>
            <wp:docPr id="28" name="Picture 28"/>
            <wp:cNvGraphicFramePr>
              <a:graphicFrameLocks noChangeAspect="1"/>
            </wp:cNvGraphicFramePr>
            <a:graphic>
              <a:graphicData uri="http://schemas.openxmlformats.org/drawingml/2006/picture">
                <pic:pic>
                  <pic:nvPicPr>
                    <pic:cNvPr id="0" name="28.png"/>
                    <pic:cNvPicPr/>
                  </pic:nvPicPr>
                  <pic:blipFill>
                    <a:blip r:embed="rId36"/>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28  Detailed field mappings and masking values</w:t>
      </w:r>
    </w:p>
    <w:p>
      <w:pPr>
        <w:keepLines/>
        <w:jc w:val="center"/>
      </w:pPr>
      <w:r>
        <w:drawing>
          <wp:inline xmlns:a="http://schemas.openxmlformats.org/drawingml/2006/main" xmlns:pic="http://schemas.openxmlformats.org/drawingml/2006/picture">
            <wp:extent cx="6172200" cy="3026092"/>
            <wp:docPr id="29" name="Picture 29"/>
            <wp:cNvGraphicFramePr>
              <a:graphicFrameLocks noChangeAspect="1"/>
            </wp:cNvGraphicFramePr>
            <a:graphic>
              <a:graphicData uri="http://schemas.openxmlformats.org/drawingml/2006/picture">
                <pic:pic>
                  <pic:nvPicPr>
                    <pic:cNvPr id="0" name="29.png"/>
                    <pic:cNvPicPr/>
                  </pic:nvPicPr>
                  <pic:blipFill>
                    <a:blip r:embed="rId37"/>
                    <a:stretch>
                      <a:fillRect/>
                    </a:stretch>
                  </pic:blipFill>
                  <pic:spPr>
                    <a:xfrm>
                      <a:off x="0" y="0"/>
                      <a:ext cx="6172200" cy="3026092"/>
                    </a:xfrm>
                    <a:prstGeom prst="rect"/>
                  </pic:spPr>
                </pic:pic>
              </a:graphicData>
            </a:graphic>
          </wp:inline>
        </w:drawing>
      </w:r>
    </w:p>
    <w:p>
      <w:pPr>
        <w:spacing w:before="80" w:after="160"/>
        <w:jc w:val="center"/>
      </w:pPr>
      <w:r>
        <w:rPr>
          <w:b/>
          <w:color w:val="595959"/>
          <w:sz w:val="18"/>
        </w:rPr>
        <w:t>Figure 29  Additional field-level job information</w:t>
      </w:r>
    </w:p>
    <w:p>
      <w:r>
        <w:br w:type="page"/>
      </w:r>
    </w:p>
    <w:p>
      <w:pPr>
        <w:pStyle w:val="Heading1"/>
      </w:pPr>
      <w:r>
        <w:t>Interpret job results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520"/>
            <w:shd w:fill="163A6B"/>
            <w:tcMar>
              <w:top w:w="100" w:type="dxa"/>
              <w:start w:w="110" w:type="dxa"/>
              <w:bottom w:w="100" w:type="dxa"/>
              <w:end w:w="110" w:type="dxa"/>
            </w:tcMar>
          </w:tcPr>
          <w:p>
            <w:r>
              <w:rPr>
                <w:b/>
                <w:color w:val="FFFFFF"/>
              </w:rPr>
              <w:t>Result</w:t>
            </w:r>
          </w:p>
        </w:tc>
        <w:tc>
          <w:tcPr>
            <w:tcW w:type="dxa" w:w="6696"/>
            <w:shd w:fill="163A6B"/>
            <w:tcMar>
              <w:top w:w="100" w:type="dxa"/>
              <w:start w:w="110" w:type="dxa"/>
              <w:bottom w:w="100" w:type="dxa"/>
              <w:end w:w="110" w:type="dxa"/>
            </w:tcMar>
          </w:tcPr>
          <w:p>
            <w:r>
              <w:rPr>
                <w:b/>
                <w:color w:val="FFFFFF"/>
              </w:rPr>
              <w:t>Recommended review</w:t>
            </w:r>
          </w:p>
        </w:tc>
      </w:tr>
      <w:tr>
        <w:tc>
          <w:tcPr>
            <w:tcW w:type="dxa" w:w="2520"/>
            <w:tcMar>
              <w:top w:w="100" w:type="dxa"/>
              <w:start w:w="110" w:type="dxa"/>
              <w:bottom w:w="100" w:type="dxa"/>
              <w:end w:w="110" w:type="dxa"/>
            </w:tcMar>
            <w:vAlign w:val="center"/>
          </w:tcPr>
          <w:p>
            <w:r>
              <w:t>Successfully cloned</w:t>
            </w:r>
          </w:p>
        </w:tc>
        <w:tc>
          <w:tcPr>
            <w:tcW w:type="dxa" w:w="6696"/>
            <w:tcMar>
              <w:top w:w="100" w:type="dxa"/>
              <w:start w:w="110" w:type="dxa"/>
              <w:bottom w:w="100" w:type="dxa"/>
              <w:end w:w="110" w:type="dxa"/>
            </w:tcMar>
            <w:vAlign w:val="center"/>
          </w:tcPr>
          <w:p>
            <w:r>
              <w:t>Confirm that the expected cloned rule and masking style are shown for the field.</w:t>
            </w:r>
          </w:p>
        </w:tc>
      </w:tr>
      <w:tr>
        <w:tc>
          <w:tcPr>
            <w:tcW w:type="dxa" w:w="2520"/>
            <w:tcMar>
              <w:top w:w="100" w:type="dxa"/>
              <w:start w:w="110" w:type="dxa"/>
              <w:bottom w:w="100" w:type="dxa"/>
              <w:end w:w="110" w:type="dxa"/>
            </w:tcMar>
            <w:vAlign w:val="center"/>
            <w:shd w:fill="F5F8FB"/>
          </w:tcPr>
          <w:p>
            <w:r>
              <w:t>Partially Failed</w:t>
            </w:r>
          </w:p>
        </w:tc>
        <w:tc>
          <w:tcPr>
            <w:tcW w:type="dxa" w:w="6696"/>
            <w:tcMar>
              <w:top w:w="100" w:type="dxa"/>
              <w:start w:w="110" w:type="dxa"/>
              <w:bottom w:w="100" w:type="dxa"/>
              <w:end w:w="110" w:type="dxa"/>
            </w:tcMar>
            <w:vAlign w:val="center"/>
            <w:shd w:fill="F5F8FB"/>
          </w:tcPr>
          <w:p>
            <w:r>
              <w:t>Review Remarks to identify failed fields, correct the reported configuration issue, and retry the destination-specific job.</w:t>
            </w:r>
          </w:p>
        </w:tc>
      </w:tr>
      <w:tr>
        <w:tc>
          <w:tcPr>
            <w:tcW w:type="dxa" w:w="2520"/>
            <w:tcMar>
              <w:top w:w="100" w:type="dxa"/>
              <w:start w:w="110" w:type="dxa"/>
              <w:bottom w:w="100" w:type="dxa"/>
              <w:end w:w="110" w:type="dxa"/>
            </w:tcMar>
            <w:vAlign w:val="center"/>
          </w:tcPr>
          <w:p>
            <w:r>
              <w:t>Invalid masking value</w:t>
            </w:r>
          </w:p>
        </w:tc>
        <w:tc>
          <w:tcPr>
            <w:tcW w:type="dxa" w:w="6696"/>
            <w:tcMar>
              <w:top w:w="100" w:type="dxa"/>
              <w:start w:w="110" w:type="dxa"/>
              <w:bottom w:w="100" w:type="dxa"/>
              <w:end w:w="110" w:type="dxa"/>
            </w:tcMar>
            <w:vAlign w:val="center"/>
          </w:tcPr>
          <w:p>
            <w:r>
              <w:t>Verify that the source masking value is valid for the corresponding destination field. Picklist values must be valid for the destination field configuration.</w:t>
            </w:r>
          </w:p>
        </w:tc>
      </w:tr>
    </w:tbl>
    <w:p>
      <w:pPr>
        <w:pStyle w:val="Heading1"/>
      </w:pPr>
      <w:r>
        <w:t>Key points</w:t>
      </w:r>
    </w:p>
    <w:p>
      <w:pPr>
        <w:pStyle w:val="ListBullet"/>
      </w:pPr>
      <w:r>
        <w:t>Only one source masking rule can be selected for each field type.</w:t>
      </w:r>
    </w:p>
    <w:p>
      <w:pPr>
        <w:pStyle w:val="ListBullet"/>
      </w:pPr>
      <w:r>
        <w:t>A source rule can be applied only to destination fields with the same field type.</w:t>
      </w:r>
    </w:p>
    <w:p>
      <w:pPr>
        <w:pStyle w:val="ListBullet"/>
      </w:pPr>
      <w:r>
        <w:t>Within one destination object, compatible fields of the same type are combined into one cloned rule.</w:t>
      </w:r>
    </w:p>
    <w:p>
      <w:pPr>
        <w:pStyle w:val="ListBullet"/>
      </w:pPr>
      <w:r>
        <w:t>The same cloned rule can therefore mask multiple fields on that destination object.</w:t>
      </w:r>
    </w:p>
    <w:p>
      <w:pPr>
        <w:pStyle w:val="ListBullet"/>
      </w:pPr>
      <w:r>
        <w:t>The total rule count is calculated across the field-type groups of all selected destination objects.</w:t>
      </w:r>
    </w:p>
    <w:p>
      <w:pPr>
        <w:pStyle w:val="ListBullet"/>
      </w:pPr>
      <w:r>
        <w:t>Each destination object is tracked through its own bulk clone job, allowing object-specific monitoring and retry.</w:t>
      </w:r>
    </w:p>
    <w:sectPr w:rsidR="00FC693F" w:rsidRPr="0006063C" w:rsidSect="00034616">
      <w:footerReference w:type="default" r:id="rId38"/>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 xml:space="preserve">AutoRABIT Vault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Cloning Masking Rules to Objects</dc:title>
  <dc:subject>AutoRABIT Vault user guide</dc:subject>
  <dc:creator>python-docx</dc:creator>
  <cp:keywords>AutoRABIT Vault, masking, bulk clone rules, clone to object</cp:keywords>
  <dc:description>generated by python-docx</dc:description>
  <cp:lastModifiedBy/>
  <cp:revision>1</cp:revision>
  <dcterms:created xsi:type="dcterms:W3CDTF">2013-12-23T23:15:00Z</dcterms:created>
  <dcterms:modified xsi:type="dcterms:W3CDTF">2013-12-23T23:15:00Z</dcterms:modified>
  <cp:category/>
</cp:coreProperties>
</file>