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从安全行驶到安全作业自主工程车辆的安全保证框架"/>
    <w:p>
      <w:pPr>
        <w:pStyle w:val="Heading1"/>
      </w:pPr>
      <w:r>
        <w:rPr>
          <w:rFonts w:hint="eastAsia"/>
        </w:rPr>
        <w:t xml:space="preserve">从安全行驶到安全作业：自主工程车辆的安全保证框架</w:t>
      </w:r>
    </w:p>
    <w:p>
      <w:pPr>
        <w:pStyle w:val="FirstParagraph"/>
      </w:pPr>
      <w:r>
        <w:rPr>
          <w:rFonts w:hint="eastAsia"/>
        </w:rPr>
        <w:t xml:space="preserve">作者：Zhang</w:t>
      </w:r>
      <w:r>
        <w:t xml:space="preserve"> </w:t>
      </w:r>
      <w:r>
        <w:rPr>
          <w:rFonts w:hint="eastAsia"/>
        </w:rPr>
        <w:t xml:space="preserve">Yuxin；Li</w:t>
      </w:r>
      <w:r>
        <w:t xml:space="preserve"> </w:t>
      </w:r>
      <w:r>
        <w:rPr>
          <w:rFonts w:hint="eastAsia"/>
        </w:rPr>
        <w:t xml:space="preserve">Xuefei；Yao</w:t>
      </w:r>
      <w:r>
        <w:t xml:space="preserve"> Zongwei</w:t>
      </w:r>
    </w:p>
    <w:p>
      <w:pPr>
        <w:pStyle w:val="BodyText"/>
      </w:pPr>
      <w:r>
        <w:rPr>
          <w:rFonts w:hint="eastAsia"/>
        </w:rPr>
        <w:t xml:space="preserve">作者顺序、单位、通信作者、ORCID、基金、利益冲突和作者贡献声明：待正式确认。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道路车辆自动驾驶已经形成相对成熟的安全工程方法，包括功能安全、SOTIF、网络安全、AI</w:t>
      </w:r>
      <w:r>
        <w:t xml:space="preserve"> </w:t>
      </w:r>
      <w:r>
        <w:rPr>
          <w:rFonts w:hint="eastAsia"/>
        </w:rPr>
        <w:t xml:space="preserve">安全、场景驱动测试和</w:t>
      </w:r>
      <w:r>
        <w:t xml:space="preserve"> safety case </w:t>
      </w:r>
      <w:r>
        <w:rPr>
          <w:rFonts w:hint="eastAsia"/>
        </w:rPr>
        <w:t xml:space="preserve">论证。与此同时，装载机、挖掘机、矿卡、开沟机、打桩设备、太阳能施工机器人以及未来星球资源作业装备，正在进入更复杂的自主化阶段。与道路车辆相比，工程车辆的核心任务不是单纯“安全行驶”，而是在场地、物料、工具、人员和生产约束共同作用下“安全作业”。现有工程机械、矿山机械和机器人标准已覆盖部分安全问题，但尚未形成一个统一证据链，把作业场地、动态作业任务、功能不足、触发条件、作业后果、测试评价、运行监控和</w:t>
      </w:r>
      <w:r>
        <w:t xml:space="preserve"> safety case </w:t>
      </w:r>
      <w:r>
        <w:rPr>
          <w:rFonts w:hint="eastAsia"/>
        </w:rPr>
        <w:t xml:space="preserve">连接起来。本文提出自主工程车辆安全保证框架，将自主工程车辆抽象为移动作业机器系统，提出作业场地与任务设计条件和动态移动与作业任务两个概念，并建立从道路车辆安全方法到工程车辆作业安全的迁移路径。本文进一步结合装载机自主作业、半自动工地协同装备、矿山无人运输、Built</w:t>
      </w:r>
      <w:r>
        <w:t xml:space="preserve"> Robotics </w:t>
      </w:r>
      <w:r>
        <w:rPr>
          <w:rFonts w:hint="eastAsia"/>
        </w:rPr>
        <w:t xml:space="preserve">安全机制以及星球资源作业材料，说明该框架如何服务于综述论文、标准化建议、测试评价和工程实践。</w:t>
      </w:r>
    </w:p>
    <w:p>
      <w:pPr>
        <w:pStyle w:val="BodyText"/>
      </w:pPr>
      <w:r>
        <w:rPr>
          <w:rFonts w:hint="eastAsia"/>
        </w:rPr>
        <w:t xml:space="preserve">关键词：自主工程车辆；移动作业机器系统；SOTIF；预期功能安全；功能安全；场景测试；安全案例；移动物理</w:t>
      </w:r>
      <w:r>
        <w:t xml:space="preserve"> AI</w:t>
      </w:r>
    </w:p>
    <w:bookmarkEnd w:id="9"/>
    <w:bookmarkStart w:id="13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10" w:name="问题从安全行驶转向安全作业"/>
    <w:p>
      <w:pPr>
        <w:pStyle w:val="Heading3"/>
      </w:pPr>
      <w:r>
        <w:t xml:space="preserve">1.1 </w:t>
      </w:r>
      <w:r>
        <w:rPr>
          <w:rFonts w:hint="eastAsia"/>
        </w:rPr>
        <w:t xml:space="preserve">问题从安全行驶转向安全作业</w:t>
      </w:r>
    </w:p>
    <w:p>
      <w:pPr>
        <w:pStyle w:val="FirstParagraph"/>
      </w:pPr>
      <w:r>
        <w:rPr>
          <w:rFonts w:hint="eastAsia"/>
        </w:rPr>
        <w:t xml:space="preserve">道路车辆自动驾驶的安全问题，通常围绕动态驾驶任务展开。车辆需要在道路、交通参与者、交通规则和运行设计域内证明其行驶行为可接受安全。工程车辆也需要移动、感知、规划和控制，但移动只是任务的一部分。装载机要识别料堆、选择铲掘点、控制铲斗轨迹、倒车转向、对准卡车或料斗、完成卸料并回到下一循环。挖掘机要处理地形、边坡、沟槽、地下设施、斗杆轨迹和物料状态。打桩、开沟、压实和清舱任务还会引入质量偏差、基础设施损伤、生产中断和恢复困难。</w:t>
      </w:r>
    </w:p>
    <w:p>
      <w:pPr>
        <w:pStyle w:val="BodyText"/>
      </w:pPr>
      <w:r>
        <w:rPr>
          <w:rFonts w:hint="eastAsia"/>
        </w:rPr>
        <w:t xml:space="preserve">因此，自主工程车辆安全不能被简化为“自动驾驶在非道路场景中的应用”。更准确的说法是：工程车辆是移动作业机器，其安全对象是机器、工作装置、工具、物料、场地、人员、协同装备和监督系统共同构成的作业系统。</w:t>
      </w:r>
    </w:p>
    <w:bookmarkEnd w:id="10"/>
    <w:bookmarkStart w:id="11" w:name="现有标准不是空白但证据链是碎片化的"/>
    <w:p>
      <w:pPr>
        <w:pStyle w:val="Heading3"/>
      </w:pPr>
      <w:r>
        <w:t xml:space="preserve">1.2 </w:t>
      </w:r>
      <w:r>
        <w:rPr>
          <w:rFonts w:hint="eastAsia"/>
        </w:rPr>
        <w:t xml:space="preserve">现有标准不是空白，但证据链是碎片化的</w:t>
      </w:r>
    </w:p>
    <w:p>
      <w:pPr>
        <w:pStyle w:val="FirstParagraph"/>
      </w:pPr>
      <w:r>
        <w:rPr>
          <w:rFonts w:hint="eastAsia"/>
        </w:rPr>
        <w:t xml:space="preserve">工程机械和矿山机械并非没有标准。ISO</w:t>
      </w:r>
      <w:r>
        <w:t xml:space="preserve"> 17757 </w:t>
      </w:r>
      <w:r>
        <w:rPr>
          <w:rFonts w:hint="eastAsia"/>
        </w:rPr>
        <w:t xml:space="preserve">涉及土方机械和矿山自主/半自主机器系统安全；ISO</w:t>
      </w:r>
      <w:r>
        <w:t xml:space="preserve"> 19014 </w:t>
      </w:r>
      <w:r>
        <w:rPr>
          <w:rFonts w:hint="eastAsia"/>
        </w:rPr>
        <w:t xml:space="preserve">涉及土方机械安全相关控制系统功能安全；ISO</w:t>
      </w:r>
      <w:r>
        <w:t xml:space="preserve"> 15817 </w:t>
      </w:r>
      <w:r>
        <w:rPr>
          <w:rFonts w:hint="eastAsia"/>
        </w:rPr>
        <w:t xml:space="preserve">涉及远程操作者控制系统；ISO</w:t>
      </w:r>
      <w:r>
        <w:t xml:space="preserve"> 21815 </w:t>
      </w:r>
      <w:r>
        <w:rPr>
          <w:rFonts w:hint="eastAsia"/>
        </w:rPr>
        <w:t xml:space="preserve">涉及碰撞警告和碰撞避免；GMG</w:t>
      </w:r>
      <w:r>
        <w:t xml:space="preserve"> </w:t>
      </w:r>
      <w:r>
        <w:rPr>
          <w:rFonts w:hint="eastAsia"/>
        </w:rPr>
        <w:t xml:space="preserve">等行业指南讨论了自主矿山系统、运营准备、变更管理和</w:t>
      </w:r>
      <w:r>
        <w:t xml:space="preserve"> safety </w:t>
      </w:r>
      <w:r>
        <w:rPr>
          <w:rFonts w:hint="eastAsia"/>
        </w:rPr>
        <w:t xml:space="preserve">case。道路车辆领域还有</w:t>
      </w:r>
      <w:r>
        <w:t xml:space="preserve"> ISO 26262、ISO 21448、ISO 34502、ISO/PAS 8800 </w:t>
      </w:r>
      <w:r>
        <w:rPr>
          <w:rFonts w:hint="eastAsia"/>
        </w:rPr>
        <w:t xml:space="preserve">等成熟方法。机器人领域的预期功能安全标准化项目也显示，ODD、场景、触发条件、功能不足、风险评价和缓解措施正在成为移动物理</w:t>
      </w:r>
      <w:r>
        <w:t xml:space="preserve"> AI </w:t>
      </w:r>
      <w:r>
        <w:rPr>
          <w:rFonts w:hint="eastAsia"/>
        </w:rPr>
        <w:t xml:space="preserve">安全的重要语言。</w:t>
      </w:r>
    </w:p>
    <w:p>
      <w:pPr>
        <w:pStyle w:val="BodyText"/>
      </w:pPr>
      <w:r>
        <w:rPr>
          <w:rFonts w:hint="eastAsia"/>
        </w:rPr>
        <w:t xml:space="preserve">真正的缺口不是“没有任何标准”，而是这些标准和指南尚未合并成面向</w:t>
      </w:r>
      <w:r>
        <w:t xml:space="preserve"> AI </w:t>
      </w:r>
      <w:r>
        <w:rPr>
          <w:rFonts w:hint="eastAsia"/>
        </w:rPr>
        <w:t xml:space="preserve">赋能移动作业的统一证据链。工程车辆需要同时证明机器控制系统安全、感知和决策功能充分、作业场地边界清楚、工作装置动作可控、人员和资产风险可接受、任务质量偏差可监控、异常状态可恢复。</w:t>
      </w:r>
    </w:p>
    <w:bookmarkEnd w:id="11"/>
    <w:bookmarkStart w:id="12" w:name="本文贡献"/>
    <w:p>
      <w:pPr>
        <w:pStyle w:val="Heading3"/>
      </w:pPr>
      <w:r>
        <w:t xml:space="preserve">1.3 </w:t>
      </w:r>
      <w:r>
        <w:rPr>
          <w:rFonts w:hint="eastAsia"/>
        </w:rPr>
        <w:t xml:space="preserve">本文贡献</w:t>
      </w:r>
    </w:p>
    <w:p>
      <w:pPr>
        <w:pStyle w:val="FirstParagraph"/>
      </w:pPr>
      <w:r>
        <w:rPr>
          <w:rFonts w:hint="eastAsia"/>
        </w:rPr>
        <w:t xml:space="preserve">本文贡献包括：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将自主工程车辆安全问题从安全行驶重构为安全作业。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提出移动作业机器系统、作业场地与任务设计条件、动态移动与作业任务三个概念。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建立道路车辆安全方法向工程车辆自主作业安全的迁移框架。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给出作业场地与任务分类、五层参考架构、评价矩阵和标准化模块建议。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说明地球工程场景如何向极端环境和星球资源作业外推，但不把内部项目材料作为公开验证证据。</w:t>
      </w:r>
    </w:p>
    <w:bookmarkEnd w:id="12"/>
    <w:bookmarkEnd w:id="13"/>
    <w:bookmarkStart w:id="17" w:name="关键概念"/>
    <w:p>
      <w:pPr>
        <w:pStyle w:val="Heading2"/>
      </w:pPr>
      <w:r>
        <w:t xml:space="preserve">2. </w:t>
      </w:r>
      <w:r>
        <w:rPr>
          <w:rFonts w:hint="eastAsia"/>
        </w:rPr>
        <w:t xml:space="preserve">关键概念</w:t>
      </w:r>
    </w:p>
    <w:bookmarkStart w:id="14" w:name="移动作业机器系统"/>
    <w:p>
      <w:pPr>
        <w:pStyle w:val="Heading3"/>
      </w:pPr>
      <w:r>
        <w:t xml:space="preserve">2.1 </w:t>
      </w:r>
      <w:r>
        <w:rPr>
          <w:rFonts w:hint="eastAsia"/>
        </w:rPr>
        <w:t xml:space="preserve">移动作业机器系统</w:t>
      </w:r>
    </w:p>
    <w:p>
      <w:pPr>
        <w:pStyle w:val="FirstParagraph"/>
      </w:pPr>
      <w:r>
        <w:rPr>
          <w:rFonts w:hint="eastAsia"/>
        </w:rPr>
        <w:t xml:space="preserve">移动作业机器系统，英文为</w:t>
      </w:r>
      <w:r>
        <w:t xml:space="preserve"> Mobile Working Machine </w:t>
      </w:r>
      <w:r>
        <w:rPr>
          <w:rFonts w:hint="eastAsia"/>
        </w:rPr>
        <w:t xml:space="preserve">System，缩写</w:t>
      </w:r>
      <w:r>
        <w:t xml:space="preserve"> </w:t>
      </w:r>
      <w:r>
        <w:rPr>
          <w:rFonts w:hint="eastAsia"/>
        </w:rPr>
        <w:t xml:space="preserve">MWMS。它不是单台车辆，而是一个安全论证对象，至少包括：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移动平台：底盘、制动、转向、驱动、定位和通信。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工作装置：铲斗、动臂、斗杆、破碎锤、开沟器、打桩装置、清扫装置。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感知与决策系统：目标识别、语义理解、路径规划、工具轨迹规划、任务质量评估。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物料与作业对象：料堆、矿石、砂土、车厢、料斗、坑槽、桩位、月壤模拟物。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场地基础设施：地图、围挡、通信、定位基站、充电、调度系统、急停和警示系统。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人员与组织：远程监督员、现场人员、维修人员、人工驾驶设备和现场管理规则。</w:t>
      </w:r>
    </w:p>
    <w:p>
      <w:pPr>
        <w:pStyle w:val="FirstParagraph"/>
      </w:pPr>
      <w:r>
        <w:t xml:space="preserve">MWMS </w:t>
      </w:r>
      <w:r>
        <w:rPr>
          <w:rFonts w:hint="eastAsia"/>
        </w:rPr>
        <w:t xml:space="preserve">的意义在于提醒工程师：风险不只来自车辆本体，也来自系统接口、场地组织、物料状态、工具动作和监督失效。</w:t>
      </w:r>
    </w:p>
    <w:bookmarkEnd w:id="14"/>
    <w:bookmarkStart w:id="15" w:name="作业场地与任务设计条件"/>
    <w:p>
      <w:pPr>
        <w:pStyle w:val="Heading3"/>
      </w:pPr>
      <w:r>
        <w:t xml:space="preserve">2.2 </w:t>
      </w:r>
      <w:r>
        <w:rPr>
          <w:rFonts w:hint="eastAsia"/>
        </w:rPr>
        <w:t xml:space="preserve">作业场地与任务设计条件</w:t>
      </w:r>
    </w:p>
    <w:p>
      <w:pPr>
        <w:pStyle w:val="FirstParagraph"/>
      </w:pPr>
      <w:r>
        <w:rPr>
          <w:rFonts w:hint="eastAsia"/>
        </w:rPr>
        <w:t xml:space="preserve">作业场地与任务设计条件，英文为</w:t>
      </w:r>
      <w:r>
        <w:t xml:space="preserve"> Worksite and Task Design </w:t>
      </w:r>
      <w:r>
        <w:rPr>
          <w:rFonts w:hint="eastAsia"/>
        </w:rPr>
        <w:t xml:space="preserve">Conditions，缩写</w:t>
      </w:r>
      <w:r>
        <w:t xml:space="preserve"> </w:t>
      </w:r>
      <w:r>
        <w:rPr>
          <w:rFonts w:hint="eastAsia"/>
        </w:rPr>
        <w:t xml:space="preserve">WTDC。它借鉴道路车辆</w:t>
      </w:r>
      <w:r>
        <w:t xml:space="preserve"> </w:t>
      </w:r>
      <w:r>
        <w:rPr>
          <w:rFonts w:hint="eastAsia"/>
        </w:rPr>
        <w:t xml:space="preserve">ODD，但比</w:t>
      </w:r>
      <w:r>
        <w:t xml:space="preserve"> ODD </w:t>
      </w:r>
      <w:r>
        <w:rPr>
          <w:rFonts w:hint="eastAsia"/>
        </w:rPr>
        <w:t xml:space="preserve">更适合作业机器。WTDC</w:t>
      </w:r>
      <w:r>
        <w:t xml:space="preserve"> </w:t>
      </w:r>
      <w:r>
        <w:rPr>
          <w:rFonts w:hint="eastAsia"/>
        </w:rPr>
        <w:t xml:space="preserve">至少应声明：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场地类型和边界。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地形、坡度、承载、湿滑、碎石和障碍物。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物料种类、粒度、含水率、堆形和可铲掘性。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工具、附件和任务模式。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人员区、禁入区和协同装备运行区。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通信、定位、调度、监督和急停基础设施。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天气、粉尘、夜间、遮挡和能见度条件。</w:t>
      </w:r>
    </w:p>
    <w:p>
      <w:pPr>
        <w:pStyle w:val="FirstParagraph"/>
      </w:pPr>
      <w:r>
        <w:t xml:space="preserve">WTDC </w:t>
      </w:r>
      <w:r>
        <w:rPr>
          <w:rFonts w:hint="eastAsia"/>
        </w:rPr>
        <w:t xml:space="preserve">的核心不是写一个漂亮边界，而是明确测试结果能否泛化。一个在室内拌合站测试通过的无人装载机，不能自动宣称适用于露天矿山、港口堆场或月面模拟场。</w:t>
      </w:r>
    </w:p>
    <w:bookmarkEnd w:id="15"/>
    <w:bookmarkStart w:id="16" w:name="动态移动与作业任务"/>
    <w:p>
      <w:pPr>
        <w:pStyle w:val="Heading3"/>
      </w:pPr>
      <w:r>
        <w:t xml:space="preserve">2.3 </w:t>
      </w:r>
      <w:r>
        <w:rPr>
          <w:rFonts w:hint="eastAsia"/>
        </w:rPr>
        <w:t xml:space="preserve">动态移动与作业任务</w:t>
      </w:r>
    </w:p>
    <w:p>
      <w:pPr>
        <w:pStyle w:val="FirstParagraph"/>
      </w:pPr>
      <w:r>
        <w:rPr>
          <w:rFonts w:hint="eastAsia"/>
        </w:rPr>
        <w:t xml:space="preserve">动态移动与作业任务，英文为</w:t>
      </w:r>
      <w:r>
        <w:t xml:space="preserve"> Dynamic Moving and Working </w:t>
      </w:r>
      <w:r>
        <w:rPr>
          <w:rFonts w:hint="eastAsia"/>
        </w:rPr>
        <w:t xml:space="preserve">Task，缩写</w:t>
      </w:r>
      <w:r>
        <w:t xml:space="preserve"> </w:t>
      </w:r>
      <w:r>
        <w:rPr>
          <w:rFonts w:hint="eastAsia"/>
        </w:rPr>
        <w:t xml:space="preserve">DMWT。它扩展道路车辆动态驾驶任务，覆盖移动和作业两个维度。</w:t>
      </w:r>
    </w:p>
    <w:p>
      <w:pPr>
        <w:pStyle w:val="BodyText"/>
      </w:pPr>
      <w:r>
        <w:rPr>
          <w:rFonts w:hint="eastAsia"/>
        </w:rPr>
        <w:t xml:space="preserve">以装载机为例，DMWT</w:t>
      </w:r>
      <w:r>
        <w:t xml:space="preserve"> </w:t>
      </w:r>
      <w:r>
        <w:rPr>
          <w:rFonts w:hint="eastAsia"/>
        </w:rPr>
        <w:t xml:space="preserve">包括：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接近料堆。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识别料堆状态和铲掘点。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控制铲斗入料。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评估满载率。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后退、转向和路径跟踪。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对准卡车或料斗。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卸料并验证位置和质量。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返回下一循环或进入恢复流程。</w:t>
      </w:r>
    </w:p>
    <w:p>
      <w:pPr>
        <w:pStyle w:val="FirstParagraph"/>
      </w:pPr>
      <w:r>
        <w:t xml:space="preserve">DMWT </w:t>
      </w:r>
      <w:r>
        <w:rPr>
          <w:rFonts w:hint="eastAsia"/>
        </w:rPr>
        <w:t xml:space="preserve">的安全后果也不只包括人身伤害，还包括撒料、低满载率、车厢损伤、料斗碰撞、生产中断、任务失败和恢复成本。</w:t>
      </w:r>
    </w:p>
    <w:bookmarkEnd w:id="16"/>
    <w:bookmarkEnd w:id="17"/>
    <w:bookmarkStart w:id="22" w:name="材料吸收与技术脉络"/>
    <w:p>
      <w:pPr>
        <w:pStyle w:val="Heading2"/>
      </w:pPr>
      <w:r>
        <w:t xml:space="preserve">3. </w:t>
      </w:r>
      <w:r>
        <w:rPr>
          <w:rFonts w:hint="eastAsia"/>
        </w:rPr>
        <w:t xml:space="preserve">材料吸收与技术脉络</w:t>
      </w:r>
    </w:p>
    <w:bookmarkStart w:id="18" w:name="装载机自主作业材料"/>
    <w:p>
      <w:pPr>
        <w:pStyle w:val="Heading3"/>
      </w:pPr>
      <w:r>
        <w:t xml:space="preserve">3.1 </w:t>
      </w:r>
      <w:r>
        <w:rPr>
          <w:rFonts w:hint="eastAsia"/>
        </w:rPr>
        <w:t xml:space="preserve">装载机自主作业材料</w:t>
      </w:r>
    </w:p>
    <w:p>
      <w:pPr>
        <w:pStyle w:val="FirstParagraph"/>
      </w:pPr>
      <w:r>
        <w:rPr>
          <w:rFonts w:hint="eastAsia"/>
        </w:rPr>
        <w:t xml:space="preserve">李学飞老师的自主工程机械材料给出了装载机自主作业的工程闭环：料堆识别、铲掘点选择、铲掘策略、满载率测量、卸料对象识别、卸料点选取、V</w:t>
      </w:r>
      <w:r>
        <w:t xml:space="preserve"> </w:t>
      </w:r>
      <w:r>
        <w:rPr>
          <w:rFonts w:hint="eastAsia"/>
        </w:rPr>
        <w:t xml:space="preserve">型作业路径规划、路径跟踪控制和室内外实车测试。这些内容说明，自主装载机的安全问题不能只用“路径规划”和“避障”概括。</w:t>
      </w:r>
    </w:p>
    <w:p>
      <w:pPr>
        <w:pStyle w:val="BodyText"/>
      </w:pPr>
      <w:r>
        <w:rPr>
          <w:rFonts w:hint="eastAsia"/>
        </w:rPr>
        <w:t xml:space="preserve">对</w:t>
      </w:r>
      <w:r>
        <w:t xml:space="preserve"> AEV Safety </w:t>
      </w:r>
      <w:r>
        <w:rPr>
          <w:rFonts w:hint="eastAsia"/>
        </w:rPr>
        <w:t xml:space="preserve">来说，这些材料最重要的贡献是把“任务质量”纳入安全论证。满载率过低、卸料偏差、路径跟踪误差、铲斗姿态偏差和物料撒漏，未必直接导致人身伤害，但会影响生产连续性、设备寿命、现场组织和系统可接受性。</w:t>
      </w:r>
    </w:p>
    <w:bookmarkEnd w:id="18"/>
    <w:bookmarkStart w:id="19" w:name="move-the-earth-and-beyond"/>
    <w:p>
      <w:pPr>
        <w:pStyle w:val="Heading3"/>
      </w:pPr>
      <w:r>
        <w:t xml:space="preserve">3.2 Move the Earth and Beyond</w:t>
      </w:r>
    </w:p>
    <w:p>
      <w:pPr>
        <w:pStyle w:val="FirstParagraph"/>
      </w:pPr>
      <w:r>
        <w:rPr>
          <w:rStyle w:val="VerbatimChar"/>
        </w:rPr>
        <w:t xml:space="preserve">Move the Earth and Beyond</w:t>
      </w:r>
      <w:r>
        <w:t xml:space="preserve"> </w:t>
      </w:r>
      <w:r>
        <w:rPr>
          <w:rFonts w:hint="eastAsia"/>
        </w:rPr>
        <w:t xml:space="preserve">将地球工程机械自主作业与月球、火星和更远场景的资源作业连接起来。这个连接不应被理解为“太空采矿已经成熟”，而应理解为安全框架的压力测试。极端环境会放大通信延迟、能源约束、地形未知、维修困难、多机协同和远程监督限制。</w:t>
      </w:r>
    </w:p>
    <w:p>
      <w:pPr>
        <w:pStyle w:val="BodyText"/>
      </w:pPr>
      <w:r>
        <w:rPr>
          <w:rFonts w:hint="eastAsia"/>
        </w:rPr>
        <w:t xml:space="preserve">材料中的</w:t>
      </w:r>
      <w:r>
        <w:t xml:space="preserve"> 5x8 </w:t>
      </w:r>
      <w:r>
        <w:rPr>
          <w:rFonts w:hint="eastAsia"/>
        </w:rPr>
        <w:t xml:space="preserve">沙盘设计很有启发性。清舱、堆料转运和未来探索三类场景，实际上对应三类不同的</w:t>
      </w:r>
      <w:r>
        <w:t xml:space="preserve"> WTDC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DMWT：受限空间清理、连续物料转运、极端环境资源作业。挖掘/爆破、装载、运输、提炼、探测、供能和</w:t>
      </w:r>
      <w:r>
        <w:t xml:space="preserve"> 3D </w:t>
      </w:r>
      <w:r>
        <w:rPr>
          <w:rFonts w:hint="eastAsia"/>
        </w:rPr>
        <w:t xml:space="preserve">打印共同构成一个资源作业系统。</w:t>
      </w:r>
    </w:p>
    <w:bookmarkEnd w:id="19"/>
    <w:bookmarkStart w:id="20" w:name="施工系统之系统安全"/>
    <w:p>
      <w:pPr>
        <w:pStyle w:val="Heading3"/>
      </w:pPr>
      <w:r>
        <w:t xml:space="preserve">3.3 </w:t>
      </w:r>
      <w:r>
        <w:rPr>
          <w:rFonts w:hint="eastAsia"/>
        </w:rPr>
        <w:t xml:space="preserve">施工系统之系统安全</w:t>
      </w:r>
    </w:p>
    <w:p>
      <w:pPr>
        <w:pStyle w:val="FirstParagraph"/>
      </w:pPr>
      <w:r>
        <w:rPr>
          <w:rFonts w:hint="eastAsia"/>
        </w:rPr>
        <w:t xml:space="preserve">施工和矿山无人系统文献显示，未来工地不会只有一台自主机器。自动运输车、人工装载机、远程控制车辆、站点服务器、车队控制系统、现场操作员和远程操作员共同构成系统之系统。传统</w:t>
      </w:r>
      <w:r>
        <w:t xml:space="preserve"> hazard analysis </w:t>
      </w:r>
      <w:r>
        <w:rPr>
          <w:rFonts w:hint="eastAsia"/>
        </w:rPr>
        <w:t xml:space="preserve">难以充分表达系统间状态不一致、通信延迟、控制权切换和动态组合。</w:t>
      </w:r>
    </w:p>
    <w:p>
      <w:pPr>
        <w:pStyle w:val="BodyText"/>
      </w:pPr>
      <w:r>
        <w:t xml:space="preserve">STPA </w:t>
      </w:r>
      <w:r>
        <w:rPr>
          <w:rFonts w:hint="eastAsia"/>
        </w:rPr>
        <w:t xml:space="preserve">和</w:t>
      </w:r>
      <w:r>
        <w:t xml:space="preserve"> Petri net </w:t>
      </w:r>
      <w:r>
        <w:rPr>
          <w:rFonts w:hint="eastAsia"/>
        </w:rPr>
        <w:t xml:space="preserve">扩展的价值在于，它们提示我们必须把控制结构、状态迁移、时序约束和系统不一致作为安全分析对象。这对自主工程车辆尤其重要，因为作业现场经常处于“人机混行、自动/人工混合、任务动态变化”的状态。</w:t>
      </w:r>
    </w:p>
    <w:bookmarkEnd w:id="20"/>
    <w:bookmarkStart w:id="21" w:name="移动物理-ai-安全"/>
    <w:p>
      <w:pPr>
        <w:pStyle w:val="Heading3"/>
      </w:pPr>
      <w:r>
        <w:t xml:space="preserve">3.4 </w:t>
      </w:r>
      <w:r>
        <w:rPr>
          <w:rFonts w:hint="eastAsia"/>
        </w:rPr>
        <w:t xml:space="preserve">移动物理</w:t>
      </w:r>
      <w:r>
        <w:t xml:space="preserve"> AI </w:t>
      </w:r>
      <w:r>
        <w:rPr>
          <w:rFonts w:hint="eastAsia"/>
        </w:rPr>
        <w:t xml:space="preserve">安全</w:t>
      </w:r>
    </w:p>
    <w:p>
      <w:pPr>
        <w:pStyle w:val="FirstParagraph"/>
      </w:pPr>
      <w:r>
        <w:rPr>
          <w:rFonts w:hint="eastAsia"/>
        </w:rPr>
        <w:t xml:space="preserve">具身智能安全、物理交互安全和</w:t>
      </w:r>
      <w:r>
        <w:t xml:space="preserve"> </w:t>
      </w:r>
      <w:r>
        <w:rPr>
          <w:rFonts w:hint="eastAsia"/>
        </w:rPr>
        <w:t xml:space="preserve">VLA/大模型决策安全材料，进一步说明</w:t>
      </w:r>
      <w:r>
        <w:t xml:space="preserve"> AEV Safety </w:t>
      </w:r>
      <w:r>
        <w:rPr>
          <w:rFonts w:hint="eastAsia"/>
        </w:rPr>
        <w:t xml:space="preserve">不只是传统工程机械安全。未来自主工程车辆可能使用语义任务规划、视觉语言动作模型、学习型控制和运行时</w:t>
      </w:r>
      <w:r>
        <w:t xml:space="preserve"> </w:t>
      </w:r>
      <w:r>
        <w:rPr>
          <w:rFonts w:hint="eastAsia"/>
        </w:rPr>
        <w:t xml:space="preserve">Guardian。语言或视觉模型的幻觉、OOD</w:t>
      </w:r>
      <w:r>
        <w:t xml:space="preserve"> </w:t>
      </w:r>
      <w:r>
        <w:rPr>
          <w:rFonts w:hint="eastAsia"/>
        </w:rPr>
        <w:t xml:space="preserve">行为、长时序规划失误和奖励偏移，在物理世界中会转化为动作风险。</w:t>
      </w:r>
    </w:p>
    <w:p>
      <w:pPr>
        <w:pStyle w:val="BodyText"/>
      </w:pPr>
      <w:r>
        <w:rPr>
          <w:rFonts w:hint="eastAsia"/>
        </w:rPr>
        <w:t xml:space="preserve">因此，AEV</w:t>
      </w:r>
      <w:r>
        <w:t xml:space="preserve"> Safety </w:t>
      </w:r>
      <w:r>
        <w:rPr>
          <w:rFonts w:hint="eastAsia"/>
        </w:rPr>
        <w:t xml:space="preserve">需要同时吸收</w:t>
      </w:r>
      <w:r>
        <w:t xml:space="preserve"> SOTIF、AI </w:t>
      </w:r>
      <w:r>
        <w:rPr>
          <w:rFonts w:hint="eastAsia"/>
        </w:rPr>
        <w:t xml:space="preserve">安全、物理交互安全和控制系统功能安全，而不是只依赖其中任一条线。</w:t>
      </w:r>
    </w:p>
    <w:bookmarkEnd w:id="21"/>
    <w:bookmarkEnd w:id="22"/>
    <w:bookmarkStart w:id="26" w:name="参考架构"/>
    <w:p>
      <w:pPr>
        <w:pStyle w:val="Heading2"/>
      </w:pPr>
      <w:r>
        <w:t xml:space="preserve">4. </w:t>
      </w:r>
      <w:r>
        <w:rPr>
          <w:rFonts w:hint="eastAsia"/>
        </w:rPr>
        <w:t xml:space="preserve">参考架构</w:t>
      </w:r>
    </w:p>
    <w:p>
      <w:pPr>
        <w:pStyle w:val="FirstParagraph"/>
      </w:pPr>
      <w:r>
        <w:rPr>
          <w:rFonts w:hint="eastAsia"/>
        </w:rPr>
        <w:t xml:space="preserve">本文采用五层参考架构：</w:t>
      </w:r>
    </w:p>
    <w:p>
      <w:pPr>
        <w:pStyle w:val="SourceCode"/>
      </w:pPr>
      <w:r>
        <w:rPr>
          <w:rStyle w:val="VerbatimChar"/>
        </w:rPr>
        <w:t xml:space="preserve">Layer 4  Safety Case and Standards Evidence</w:t>
      </w:r>
      <w:r>
        <w:br/>
      </w:r>
      <w:r>
        <w:rPr>
          <w:rStyle w:val="VerbatimChar"/>
        </w:rPr>
        <w:t xml:space="preserve">Layer 3  Site Supervision and Operational Control</w:t>
      </w:r>
      <w:r>
        <w:br/>
      </w:r>
      <w:r>
        <w:rPr>
          <w:rStyle w:val="VerbatimChar"/>
        </w:rPr>
        <w:t xml:space="preserve">Layer 2  Task Autonomy and Runtime Safety Monitoring</w:t>
      </w:r>
      <w:r>
        <w:br/>
      </w:r>
      <w:r>
        <w:rPr>
          <w:rStyle w:val="VerbatimChar"/>
        </w:rPr>
        <w:t xml:space="preserve">Layer 1  Machine Safety and Work-Equipment Control</w:t>
      </w:r>
      <w:r>
        <w:br/>
      </w:r>
      <w:r>
        <w:rPr>
          <w:rStyle w:val="VerbatimChar"/>
        </w:rPr>
        <w:t xml:space="preserve">Layer 0  Worksite and Task Boundary</w:t>
      </w:r>
    </w:p>
    <w:p>
      <w:pPr>
        <w:pStyle w:val="FirstParagraph"/>
      </w:pPr>
      <w:r>
        <w:t xml:space="preserve">Layer 0 </w:t>
      </w:r>
      <w:r>
        <w:rPr>
          <w:rFonts w:hint="eastAsia"/>
        </w:rPr>
        <w:t xml:space="preserve">定义</w:t>
      </w:r>
      <w:r>
        <w:t xml:space="preserve"> WTDC </w:t>
      </w:r>
      <w:r>
        <w:rPr>
          <w:rFonts w:hint="eastAsia"/>
        </w:rPr>
        <w:t xml:space="preserve">和</w:t>
      </w:r>
      <w:r>
        <w:t xml:space="preserve"> DMWT。Layer 1 </w:t>
      </w:r>
      <w:r>
        <w:rPr>
          <w:rFonts w:hint="eastAsia"/>
        </w:rPr>
        <w:t xml:space="preserve">处理制动、转向、驱动、液压、急停、安全相关控制和工作装置安全。Layer</w:t>
      </w:r>
      <w:r>
        <w:t xml:space="preserve"> 2 </w:t>
      </w:r>
      <w:r>
        <w:rPr>
          <w:rFonts w:hint="eastAsia"/>
        </w:rPr>
        <w:t xml:space="preserve">处理感知、规划、工作装置控制、任务质量监控和运行时</w:t>
      </w:r>
      <w:r>
        <w:t xml:space="preserve"> Guardian。Layer 3 </w:t>
      </w:r>
      <w:r>
        <w:rPr>
          <w:rFonts w:hint="eastAsia"/>
        </w:rPr>
        <w:t xml:space="preserve">处理调度、远程监督、围挡、急停、控制权转移和恢复。Layer</w:t>
      </w:r>
      <w:r>
        <w:t xml:space="preserve"> 4 </w:t>
      </w:r>
      <w:r>
        <w:rPr>
          <w:rFonts w:hint="eastAsia"/>
        </w:rPr>
        <w:t xml:space="preserve">把测试、监控、故障样本和运行证据组织成</w:t>
      </w:r>
      <w:r>
        <w:t xml:space="preserve"> safety case。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Figure 1. Review workflow and evidence classification for the systematized scoping review." title="" id="24" name="Picture"/>
            <a:graphic>
              <a:graphicData uri="http://schemas.openxmlformats.org/drawingml/2006/picture">
                <pic:pic>
                  <pic:nvPicPr>
                    <pic:cNvPr descr="../figures/AEV-Safety-review-workf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Review workflow and evidence classification for the systematized scoping review.</w:t>
      </w:r>
    </w:p>
    <w:p>
      <w:pPr>
        <w:pStyle w:val="BodyText"/>
      </w:pPr>
      <w:r>
        <w:rPr>
          <w:rFonts w:hint="eastAsia"/>
        </w:rPr>
        <w:t xml:space="preserve">图</w:t>
      </w:r>
      <w:r>
        <w:t xml:space="preserve"> 1. </w:t>
      </w:r>
      <w:r>
        <w:rPr>
          <w:rFonts w:hint="eastAsia"/>
        </w:rPr>
        <w:t xml:space="preserve">系统化范围综述的证据分类与工作流。</w:t>
      </w:r>
    </w:p>
    <w:bookmarkEnd w:id="26"/>
    <w:bookmarkStart w:id="27" w:name="场景分类与评价矩阵"/>
    <w:p>
      <w:pPr>
        <w:pStyle w:val="Heading2"/>
      </w:pPr>
      <w:r>
        <w:t xml:space="preserve">5. </w:t>
      </w:r>
      <w:r>
        <w:rPr>
          <w:rFonts w:hint="eastAsia"/>
        </w:rPr>
        <w:t xml:space="preserve">场景分类与评价矩阵</w:t>
      </w:r>
    </w:p>
    <w:p>
      <w:pPr>
        <w:pStyle w:val="FirstParagraph"/>
      </w:pPr>
      <w:r>
        <w:rPr>
          <w:rFonts w:hint="eastAsia"/>
        </w:rPr>
        <w:t xml:space="preserve">本文将作业场景分为七类：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场地与基础设施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通信退化、定位漂移、禁入区声明不完整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感知与语义理解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料堆识别不足、卸料对象识别不足、人员识别不足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移动与路径控制</w:t>
            </w:r>
          </w:p>
        </w:tc>
        <w:tc>
          <w:tcPr/>
          <w:p>
            <w:pPr>
              <w:pStyle w:val="Compact"/>
            </w:pPr>
            <w:r>
              <w:t xml:space="preserve">V </w:t>
            </w:r>
            <w:r>
              <w:rPr>
                <w:rFonts w:hint="eastAsia"/>
              </w:rPr>
              <w:t xml:space="preserve">型路径规划失败、铰接转向误差、低附着稳定性不足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工作装置与物料交互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铲掘不足、卸料不足、任务质量不可接受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人员、资产与协同装备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人员进入、协同装备状态不一致、人机混行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监督、调度与恢复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监督负荷过高、控制权转移不清、MRC</w:t>
            </w:r>
            <w:r>
              <w:t xml:space="preserve"> </w:t>
            </w:r>
            <w:r>
              <w:rPr>
                <w:rFonts w:hint="eastAsia"/>
              </w:rPr>
              <w:t xml:space="preserve">不足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极端与星球资源作业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能源受限、未知地形、多机资源作业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评价矩阵应覆盖六类后果：人员安全、资产与基础设施、生产连续性、任务质量、环境与资源、恢复能力。这个矩阵避免把安全窄化为“有没有撞人”。工程车辆常见风险包括低质量作业导致返工、卸料偏差导致设备损伤、停机导致生产中断、通信退化导致监督失败、恢复困难导致现场风险扩大。</w:t>
      </w:r>
    </w:p>
    <w:bookmarkEnd w:id="27"/>
    <w:bookmarkStart w:id="28" w:name="sotif-风险链迁移"/>
    <w:p>
      <w:pPr>
        <w:pStyle w:val="Heading2"/>
      </w:pPr>
      <w:r>
        <w:t xml:space="preserve">6. SOTIF </w:t>
      </w:r>
      <w:r>
        <w:rPr>
          <w:rFonts w:hint="eastAsia"/>
        </w:rPr>
        <w:t xml:space="preserve">风险链迁移</w:t>
      </w:r>
    </w:p>
    <w:p>
      <w:pPr>
        <w:pStyle w:val="FirstParagraph"/>
      </w:pPr>
      <w:r>
        <w:rPr>
          <w:rFonts w:hint="eastAsia"/>
        </w:rPr>
        <w:t xml:space="preserve">在道路车辆中，SOTIF</w:t>
      </w:r>
      <w:r>
        <w:t xml:space="preserve"> </w:t>
      </w:r>
      <w:r>
        <w:rPr>
          <w:rFonts w:hint="eastAsia"/>
        </w:rPr>
        <w:t xml:space="preserve">关注无故障情况下由于预期功能不足而产生的不合理风险。迁移到工程车辆时，可形成以下链条：</w:t>
      </w:r>
    </w:p>
    <w:p>
      <w:pPr>
        <w:pStyle w:val="SourceCode"/>
      </w:pPr>
      <w:r>
        <w:rPr>
          <w:rStyle w:val="VerbatimChar"/>
        </w:rPr>
        <w:t xml:space="preserve">WTDC / DMWT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功能不足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触发条件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危险事件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作业后果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缓解措施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证据</w:t>
      </w:r>
    </w:p>
    <w:p>
      <w:pPr>
        <w:pStyle w:val="FirstParagraph"/>
      </w:pPr>
      <w:r>
        <w:rPr>
          <w:rFonts w:hint="eastAsia"/>
        </w:rPr>
        <w:t xml:space="preserve">示例：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自主铲掘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料堆可铲掘位置识别不足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料堆凸度变化、粉尘、光照变化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低满载率、打滑、铲斗冲击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降低速度、重新感知、请求确认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自主卸料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车厢边界识别不足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卡车停姿偏差、遮挡、料箱高度变化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撒料、碰撞、车厢损伤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重新对准、限制卸料、远程确认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半自动工地协同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协同装备状态同步不足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通信延迟、人工设备未按预期移动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危险接近、调度冲突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停止任务、广播状态、现场确认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星球资源作业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地形与物料未知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松散地形、低通信、低能源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陷车、任务失败、恢复困难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保守路径、能源保护、任务回退</w:t>
            </w:r>
          </w:p>
        </w:tc>
      </w:tr>
    </w:tbl>
    <w:bookmarkEnd w:id="28"/>
    <w:bookmarkStart w:id="29" w:name="标准化路径"/>
    <w:p>
      <w:pPr>
        <w:pStyle w:val="Heading2"/>
      </w:pPr>
      <w:r>
        <w:t xml:space="preserve">7. </w:t>
      </w:r>
      <w:r>
        <w:rPr>
          <w:rFonts w:hint="eastAsia"/>
        </w:rPr>
        <w:t xml:space="preserve">标准化路径</w:t>
      </w:r>
    </w:p>
    <w:p>
      <w:pPr>
        <w:pStyle w:val="FirstParagraph"/>
      </w:pPr>
      <w:r>
        <w:t xml:space="preserve">AEV Safety </w:t>
      </w:r>
      <w:r>
        <w:rPr>
          <w:rFonts w:hint="eastAsia"/>
        </w:rPr>
        <w:t xml:space="preserve">的标准化路径不是替代现有标准，而是连接已有标准：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ISO 26262 </w:t>
      </w:r>
      <w:r>
        <w:rPr>
          <w:rFonts w:hint="eastAsia"/>
        </w:rPr>
        <w:t xml:space="preserve">和</w:t>
      </w:r>
      <w:r>
        <w:t xml:space="preserve"> ISO 19014 </w:t>
      </w:r>
      <w:r>
        <w:rPr>
          <w:rFonts w:hint="eastAsia"/>
        </w:rPr>
        <w:t xml:space="preserve">处理失效相关的安全控制。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ISO 21448 </w:t>
      </w:r>
      <w:r>
        <w:rPr>
          <w:rFonts w:hint="eastAsia"/>
        </w:rPr>
        <w:t xml:space="preserve">和机器人预期功能安全线索处理功能不足和触发条件。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ISO 34502 </w:t>
      </w:r>
      <w:r>
        <w:rPr>
          <w:rFonts w:hint="eastAsia"/>
        </w:rPr>
        <w:t xml:space="preserve">的场景分层思想组织</w:t>
      </w:r>
      <w:r>
        <w:t xml:space="preserve"> WTDC </w:t>
      </w:r>
      <w:r>
        <w:rPr>
          <w:rFonts w:hint="eastAsia"/>
        </w:rPr>
        <w:t xml:space="preserve">和</w:t>
      </w:r>
      <w:r>
        <w:t xml:space="preserve"> DMWT </w:t>
      </w:r>
      <w:r>
        <w:rPr>
          <w:rFonts w:hint="eastAsia"/>
        </w:rPr>
        <w:t xml:space="preserve">测试。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ISO/PAS 8800 </w:t>
      </w:r>
      <w:r>
        <w:rPr>
          <w:rFonts w:hint="eastAsia"/>
        </w:rPr>
        <w:t xml:space="preserve">处理</w:t>
      </w:r>
      <w:r>
        <w:t xml:space="preserve"> AI </w:t>
      </w:r>
      <w:r>
        <w:rPr>
          <w:rFonts w:hint="eastAsia"/>
        </w:rPr>
        <w:t xml:space="preserve">组件生命周期和</w:t>
      </w:r>
      <w:r>
        <w:t xml:space="preserve"> AI </w:t>
      </w:r>
      <w:r>
        <w:rPr>
          <w:rFonts w:hint="eastAsia"/>
        </w:rPr>
        <w:t xml:space="preserve">安全论证。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ISO 17757、ISO 15817、ISO 21815 </w:t>
      </w:r>
      <w:r>
        <w:rPr>
          <w:rFonts w:hint="eastAsia"/>
        </w:rPr>
        <w:t xml:space="preserve">和</w:t>
      </w:r>
      <w:r>
        <w:t xml:space="preserve"> GMG </w:t>
      </w:r>
      <w:r>
        <w:rPr>
          <w:rFonts w:hint="eastAsia"/>
        </w:rPr>
        <w:t xml:space="preserve">指南处理矿山/土方自主机器系统、远程控制和碰撞风险。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ISO 10218、ISO/TS </w:t>
      </w:r>
      <w:r>
        <w:rPr>
          <w:rFonts w:hint="eastAsia"/>
        </w:rPr>
        <w:t xml:space="preserve">15066、物理交互安全方法处理人机共享空间和接触风险。</w:t>
      </w:r>
    </w:p>
    <w:p>
      <w:pPr>
        <w:pStyle w:val="FirstParagraph"/>
      </w:pPr>
      <w:r>
        <w:rPr>
          <w:rFonts w:hint="eastAsia"/>
        </w:rPr>
        <w:t xml:space="preserve">标准化建议应聚焦七个模块：范围与对象、术语、场地与任务声明、SOTIF</w:t>
      </w:r>
      <w:r>
        <w:t xml:space="preserve"> </w:t>
      </w:r>
      <w:r>
        <w:rPr>
          <w:rFonts w:hint="eastAsia"/>
        </w:rPr>
        <w:t xml:space="preserve">风险链、测试矩阵、运行监控、safety</w:t>
      </w:r>
      <w:r>
        <w:t xml:space="preserve"> case。</w:t>
      </w:r>
    </w:p>
    <w:bookmarkEnd w:id="29"/>
    <w:bookmarkStart w:id="33" w:name="讨论"/>
    <w:p>
      <w:pPr>
        <w:pStyle w:val="Heading2"/>
      </w:pPr>
      <w:r>
        <w:t xml:space="preserve">8. </w:t>
      </w:r>
      <w:r>
        <w:rPr>
          <w:rFonts w:hint="eastAsia"/>
        </w:rPr>
        <w:t xml:space="preserve">讨论</w:t>
      </w:r>
    </w:p>
    <w:bookmarkStart w:id="30" w:name="不能直接复制道路车辆标签"/>
    <w:p>
      <w:pPr>
        <w:pStyle w:val="Heading3"/>
      </w:pPr>
      <w:r>
        <w:t xml:space="preserve">8.1 </w:t>
      </w:r>
      <w:r>
        <w:rPr>
          <w:rFonts w:hint="eastAsia"/>
        </w:rPr>
        <w:t xml:space="preserve">不能直接复制道路车辆标签</w:t>
      </w:r>
    </w:p>
    <w:p>
      <w:pPr>
        <w:pStyle w:val="FirstParagraph"/>
      </w:pPr>
      <w:r>
        <w:rPr>
          <w:rFonts w:hint="eastAsia"/>
        </w:rPr>
        <w:t xml:space="preserve">道路车辆</w:t>
      </w:r>
      <w:r>
        <w:t xml:space="preserve"> ASIL、SAE </w:t>
      </w:r>
      <w:r>
        <w:rPr>
          <w:rFonts w:hint="eastAsia"/>
        </w:rPr>
        <w:t xml:space="preserve">自动驾驶等级、ODD</w:t>
      </w:r>
      <w:r>
        <w:t xml:space="preserve"> </w:t>
      </w:r>
      <w:r>
        <w:rPr>
          <w:rFonts w:hint="eastAsia"/>
        </w:rPr>
        <w:t xml:space="preserve">和</w:t>
      </w:r>
      <w:r>
        <w:t xml:space="preserve"> DDT </w:t>
      </w:r>
      <w:r>
        <w:rPr>
          <w:rFonts w:hint="eastAsia"/>
        </w:rPr>
        <w:t xml:space="preserve">都不能原封不动搬到工程车辆。工程车辆需要表达工作装置自动化、任务质量、物料交互、监督模式和恢复能力。</w:t>
      </w:r>
    </w:p>
    <w:bookmarkEnd w:id="30"/>
    <w:bookmarkStart w:id="31" w:name="企业案例只能作为场景锚点"/>
    <w:p>
      <w:pPr>
        <w:pStyle w:val="Heading3"/>
      </w:pPr>
      <w:r>
        <w:t xml:space="preserve">8.2 </w:t>
      </w:r>
      <w:r>
        <w:rPr>
          <w:rFonts w:hint="eastAsia"/>
        </w:rPr>
        <w:t xml:space="preserve">企业案例只能作为场景锚点</w:t>
      </w:r>
    </w:p>
    <w:p>
      <w:pPr>
        <w:pStyle w:val="FirstParagraph"/>
      </w:pPr>
      <w:r>
        <w:t xml:space="preserve">Built </w:t>
      </w:r>
      <w:r>
        <w:rPr>
          <w:rFonts w:hint="eastAsia"/>
        </w:rPr>
        <w:t xml:space="preserve">Robotics、徐工无人电动装载机、Volvo</w:t>
      </w:r>
      <w:r>
        <w:t xml:space="preserve"> Electric Site </w:t>
      </w:r>
      <w:r>
        <w:rPr>
          <w:rFonts w:hint="eastAsia"/>
        </w:rPr>
        <w:t xml:space="preserve">等公开案例可帮助识别场景和系统边界，但不能被直接写成产品认证、长期安全表现或通用成熟度证据。内部商业计划书和项目</w:t>
      </w:r>
      <w:r>
        <w:t xml:space="preserve"> PPT </w:t>
      </w:r>
      <w:r>
        <w:rPr>
          <w:rFonts w:hint="eastAsia"/>
        </w:rPr>
        <w:t xml:space="preserve">更应只作为背景输入。</w:t>
      </w:r>
    </w:p>
    <w:bookmarkEnd w:id="31"/>
    <w:bookmarkStart w:id="32" w:name="星球资源作业是极端外推不是当前合规依据"/>
    <w:p>
      <w:pPr>
        <w:pStyle w:val="Heading3"/>
      </w:pPr>
      <w:r>
        <w:t xml:space="preserve">8.3 </w:t>
      </w:r>
      <w:r>
        <w:rPr>
          <w:rFonts w:hint="eastAsia"/>
        </w:rPr>
        <w:t xml:space="preserve">星球资源作业是极端外推，不是当前合规依据</w:t>
      </w:r>
    </w:p>
    <w:p>
      <w:pPr>
        <w:pStyle w:val="FirstParagraph"/>
      </w:pPr>
      <w:r>
        <w:rPr>
          <w:rFonts w:hint="eastAsia"/>
        </w:rPr>
        <w:t xml:space="preserve">月球和火星资源作业能帮助检验框架的通用性，但不能作为当前地球工程车辆标准的直接合规证据。它的价值在于放大不确定性、远程监督、能源、维修和多机协同问题。</w:t>
      </w:r>
    </w:p>
    <w:bookmarkEnd w:id="32"/>
    <w:bookmarkEnd w:id="33"/>
    <w:bookmarkStart w:id="34" w:name="结论"/>
    <w:p>
      <w:pPr>
        <w:pStyle w:val="Heading2"/>
      </w:pPr>
      <w:r>
        <w:t xml:space="preserve">9.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自主工程车辆安全的关键，不是证明机器会不会自己开，而是证明机器能否在声明清楚的场地和任务条件下安全完成作业，并在功能不足、触发条件、人员进入、协同冲突、任务质量偏差和恢复困难出现时，留下可审查的证据链。</w:t>
      </w:r>
    </w:p>
    <w:p>
      <w:pPr>
        <w:pStyle w:val="BodyText"/>
      </w:pPr>
      <w:r>
        <w:t xml:space="preserve">AEV Safety </w:t>
      </w:r>
      <w:r>
        <w:rPr>
          <w:rFonts w:hint="eastAsia"/>
        </w:rPr>
        <w:t xml:space="preserve">提出的</w:t>
      </w:r>
      <w:r>
        <w:t xml:space="preserve"> MWMS、WTDC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DMWT，为工程车辆</w:t>
      </w:r>
      <w:r>
        <w:t xml:space="preserve"> </w:t>
      </w:r>
      <w:r>
        <w:rPr>
          <w:rFonts w:hint="eastAsia"/>
        </w:rPr>
        <w:t xml:space="preserve">SOTIF、场景测试、运行监控和</w:t>
      </w:r>
      <w:r>
        <w:t xml:space="preserve"> safety case </w:t>
      </w:r>
      <w:r>
        <w:rPr>
          <w:rFonts w:hint="eastAsia"/>
        </w:rPr>
        <w:t xml:space="preserve">提供了共同语言。后续工作需要把这个框架进一步落实到真实测试记录、企业匿名案例、标准条款映射、会议报告和工程产品实践中。</w:t>
      </w:r>
    </w:p>
    <w:bookmarkEnd w:id="34"/>
    <w:bookmarkStart w:id="35" w:name="参考文献方向"/>
    <w:p>
      <w:pPr>
        <w:pStyle w:val="Heading2"/>
      </w:pPr>
      <w:r>
        <w:rPr>
          <w:rFonts w:hint="eastAsia"/>
        </w:rPr>
        <w:t xml:space="preserve">参考文献方向</w:t>
      </w:r>
    </w:p>
    <w:p>
      <w:pPr>
        <w:pStyle w:val="FirstParagraph"/>
      </w:pPr>
      <w:r>
        <w:rPr>
          <w:rFonts w:hint="eastAsia"/>
        </w:rPr>
        <w:t xml:space="preserve">正式参考文献以英文稿和</w:t>
      </w:r>
      <w:r>
        <w:t xml:space="preserve"> BibTeX </w:t>
      </w:r>
      <w:r>
        <w:rPr>
          <w:rFonts w:hint="eastAsia"/>
        </w:rPr>
        <w:t xml:space="preserve">为准。中文稿当前使用的主要文献和标准方向包括：</w:t>
      </w:r>
    </w:p>
    <w:p>
      <w:pPr>
        <w:pStyle w:val="Compact"/>
        <w:numPr>
          <w:ilvl w:val="0"/>
          <w:numId w:val="1006"/>
        </w:numPr>
      </w:pPr>
      <w:r>
        <w:t xml:space="preserve">ISO 26262, Road vehicles — Functional safety.</w:t>
      </w:r>
    </w:p>
    <w:p>
      <w:pPr>
        <w:pStyle w:val="Compact"/>
        <w:numPr>
          <w:ilvl w:val="0"/>
          <w:numId w:val="1006"/>
        </w:numPr>
      </w:pPr>
      <w:r>
        <w:t xml:space="preserve">ISO 21448, Road vehicles — Safety of the intended functionality.</w:t>
      </w:r>
    </w:p>
    <w:p>
      <w:pPr>
        <w:pStyle w:val="Compact"/>
        <w:numPr>
          <w:ilvl w:val="0"/>
          <w:numId w:val="1006"/>
        </w:numPr>
      </w:pPr>
      <w:r>
        <w:t xml:space="preserve">ISO 34502, Road vehicles — Test scenarios for automated driving systems.</w:t>
      </w:r>
    </w:p>
    <w:p>
      <w:pPr>
        <w:pStyle w:val="Compact"/>
        <w:numPr>
          <w:ilvl w:val="0"/>
          <w:numId w:val="1006"/>
        </w:numPr>
      </w:pPr>
      <w:r>
        <w:t xml:space="preserve">ISO/PAS 8800, Road vehicles — Safety and artificial intelligence.</w:t>
      </w:r>
    </w:p>
    <w:p>
      <w:pPr>
        <w:pStyle w:val="Compact"/>
        <w:numPr>
          <w:ilvl w:val="0"/>
          <w:numId w:val="1006"/>
        </w:numPr>
      </w:pPr>
      <w:r>
        <w:t xml:space="preserve">ISO 17757, Earth-moving machinery and mining — Autonomous and semi-autonomous machine system safety.</w:t>
      </w:r>
    </w:p>
    <w:p>
      <w:pPr>
        <w:pStyle w:val="Compact"/>
        <w:numPr>
          <w:ilvl w:val="0"/>
          <w:numId w:val="1006"/>
        </w:numPr>
      </w:pPr>
      <w:r>
        <w:t xml:space="preserve">ISO 19014, Earth-moving machinery — Functional safety.</w:t>
      </w:r>
    </w:p>
    <w:p>
      <w:pPr>
        <w:pStyle w:val="Compact"/>
        <w:numPr>
          <w:ilvl w:val="0"/>
          <w:numId w:val="1006"/>
        </w:numPr>
      </w:pPr>
      <w:r>
        <w:t xml:space="preserve">ISO 15817, Earth-moving machinery — Remote operator control systems.</w:t>
      </w:r>
    </w:p>
    <w:p>
      <w:pPr>
        <w:pStyle w:val="Compact"/>
        <w:numPr>
          <w:ilvl w:val="0"/>
          <w:numId w:val="1006"/>
        </w:numPr>
      </w:pPr>
      <w:r>
        <w:t xml:space="preserve">ISO 21815, Earth-moving machinery — Collision warning and collision avoidance.</w:t>
      </w:r>
    </w:p>
    <w:p>
      <w:pPr>
        <w:pStyle w:val="Compact"/>
        <w:numPr>
          <w:ilvl w:val="0"/>
          <w:numId w:val="1006"/>
        </w:numPr>
      </w:pPr>
      <w:r>
        <w:t xml:space="preserve">ISO 18497-1:2024, Agricultural machinery and tractors — Safety of partially automated, semi-autonomous and autonomous machinery.</w:t>
      </w:r>
    </w:p>
    <w:p>
      <w:pPr>
        <w:pStyle w:val="Compact"/>
        <w:numPr>
          <w:ilvl w:val="0"/>
          <w:numId w:val="1006"/>
        </w:numPr>
      </w:pPr>
      <w:r>
        <w:t xml:space="preserve">GMG autonomous mining system guidance.</w:t>
      </w:r>
    </w:p>
    <w:p>
      <w:pPr>
        <w:pStyle w:val="Compact"/>
        <w:numPr>
          <w:ilvl w:val="0"/>
          <w:numId w:val="1006"/>
        </w:numPr>
      </w:pPr>
      <w:r>
        <w:t xml:space="preserve">Construction unmanned vehicle, cooperating construction equipment safety and system-of-systems safety analysis literature.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2026-06-04T21:19:32Z</dcterms:created>
  <dcterms:modified xsi:type="dcterms:W3CDTF">2026-06-04T21:19:32Z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