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1410" w:rsidRPr="001D1410" w:rsidRDefault="001D1410" w:rsidP="001D1410">
      <w:pPr>
        <w:widowControl/>
        <w:jc w:val="left"/>
        <w:outlineLvl w:val="0"/>
        <w:rPr>
          <w:rFonts w:ascii="PingFang SC" w:eastAsia="PingFang SC" w:hAnsi="PingFang SC" w:cs="宋体"/>
          <w:spacing w:val="8"/>
          <w:kern w:val="36"/>
          <w:sz w:val="33"/>
          <w:szCs w:val="33"/>
        </w:rPr>
      </w:pPr>
      <w:r w:rsidRPr="001D1410">
        <w:rPr>
          <w:rFonts w:ascii="PingFang SC" w:eastAsia="PingFang SC" w:hAnsi="PingFang SC" w:cs="宋体" w:hint="eastAsia"/>
          <w:spacing w:val="8"/>
          <w:kern w:val="36"/>
          <w:sz w:val="33"/>
          <w:szCs w:val="33"/>
        </w:rPr>
        <w:t>从武汉萝卜快跑故障看行业变局：安全监管趋严，自动驾驶企业必须回答的问题</w:t>
      </w:r>
    </w:p>
    <w:p w:rsidR="001D1410" w:rsidRPr="001D1410" w:rsidRDefault="001D1410" w:rsidP="001D1410">
      <w:pPr>
        <w:widowControl/>
        <w:spacing w:line="300" w:lineRule="atLeast"/>
        <w:ind w:right="150"/>
        <w:jc w:val="left"/>
        <w:rPr>
          <w:rFonts w:ascii="宋体" w:eastAsia="宋体" w:hAnsi="宋体" w:cs="宋体" w:hint="eastAsia"/>
          <w:kern w:val="0"/>
          <w:sz w:val="23"/>
          <w:szCs w:val="23"/>
        </w:rPr>
      </w:pPr>
      <w:r w:rsidRPr="001D1410">
        <w:rPr>
          <w:rFonts w:ascii="PingFang SC" w:eastAsia="PingFang SC" w:hAnsi="PingFang SC" w:cs="宋体" w:hint="eastAsia"/>
          <w:kern w:val="0"/>
          <w:sz w:val="18"/>
          <w:szCs w:val="18"/>
        </w:rPr>
        <w:t>原创</w:t>
      </w:r>
      <w:r w:rsidRPr="001D1410">
        <w:rPr>
          <w:rFonts w:ascii="PingFang SC" w:eastAsia="PingFang SC" w:hAnsi="PingFang SC" w:cs="宋体" w:hint="eastAsia"/>
          <w:spacing w:val="8"/>
          <w:kern w:val="0"/>
          <w:sz w:val="2"/>
          <w:szCs w:val="2"/>
        </w:rPr>
        <w:t> </w:t>
      </w:r>
      <w:r w:rsidRPr="001D1410">
        <w:rPr>
          <w:rFonts w:ascii="PingFang SC" w:eastAsia="PingFang SC" w:hAnsi="PingFang SC" w:cs="宋体" w:hint="eastAsia"/>
          <w:spacing w:val="8"/>
          <w:kern w:val="0"/>
          <w:sz w:val="23"/>
          <w:szCs w:val="23"/>
        </w:rPr>
        <w:t>政研室</w:t>
      </w:r>
      <w:r w:rsidRPr="001D1410">
        <w:rPr>
          <w:rFonts w:ascii="PingFang SC" w:eastAsia="PingFang SC" w:hAnsi="PingFang SC" w:cs="宋体" w:hint="eastAsia"/>
          <w:spacing w:val="8"/>
          <w:kern w:val="0"/>
          <w:sz w:val="2"/>
          <w:szCs w:val="2"/>
        </w:rPr>
        <w:t> </w:t>
      </w:r>
      <w:hyperlink r:id="rId4" w:history="1">
        <w:r w:rsidRPr="001D1410">
          <w:rPr>
            <w:rFonts w:ascii="PingFang SC" w:eastAsia="PingFang SC" w:hAnsi="PingFang SC" w:cs="宋体" w:hint="eastAsia"/>
            <w:color w:val="0000FF"/>
            <w:spacing w:val="8"/>
            <w:kern w:val="0"/>
            <w:sz w:val="23"/>
            <w:szCs w:val="23"/>
            <w:u w:val="single"/>
          </w:rPr>
          <w:t>智驾政研室</w:t>
        </w:r>
      </w:hyperlink>
    </w:p>
    <w:p w:rsidR="001D1410" w:rsidRPr="001D1410" w:rsidRDefault="001D1410" w:rsidP="001D1410">
      <w:pPr>
        <w:widowControl/>
        <w:spacing w:line="300" w:lineRule="atLeast"/>
        <w:jc w:val="left"/>
        <w:rPr>
          <w:rFonts w:ascii="宋体" w:eastAsia="宋体" w:hAnsi="宋体" w:cs="宋体" w:hint="eastAsia"/>
          <w:kern w:val="0"/>
          <w:sz w:val="2"/>
          <w:szCs w:val="2"/>
        </w:rPr>
      </w:pPr>
      <w:r w:rsidRPr="001D1410">
        <w:rPr>
          <w:rFonts w:ascii="PingFang SC" w:eastAsia="PingFang SC" w:hAnsi="PingFang SC" w:cs="宋体" w:hint="eastAsia"/>
          <w:spacing w:val="8"/>
          <w:kern w:val="0"/>
          <w:sz w:val="2"/>
          <w:szCs w:val="2"/>
        </w:rPr>
        <w:t> </w:t>
      </w:r>
      <w:r w:rsidRPr="001D1410">
        <w:rPr>
          <w:rFonts w:ascii="PingFang SC" w:eastAsia="PingFang SC" w:hAnsi="PingFang SC" w:cs="宋体" w:hint="eastAsia"/>
          <w:spacing w:val="8"/>
          <w:kern w:val="0"/>
          <w:sz w:val="23"/>
          <w:szCs w:val="23"/>
        </w:rPr>
        <w:t>2026年4月23日 01:49</w:t>
      </w:r>
      <w:r w:rsidRPr="001D1410">
        <w:rPr>
          <w:rFonts w:ascii="PingFang SC" w:eastAsia="PingFang SC" w:hAnsi="PingFang SC" w:cs="宋体" w:hint="eastAsia"/>
          <w:spacing w:val="8"/>
          <w:kern w:val="0"/>
          <w:sz w:val="2"/>
          <w:szCs w:val="2"/>
        </w:rPr>
        <w:t> </w:t>
      </w:r>
      <w:r w:rsidRPr="001D1410">
        <w:rPr>
          <w:rFonts w:ascii="PingFang SC" w:eastAsia="PingFang SC" w:hAnsi="PingFang SC" w:cs="宋体" w:hint="eastAsia"/>
          <w:spacing w:val="8"/>
          <w:kern w:val="0"/>
          <w:sz w:val="23"/>
          <w:szCs w:val="23"/>
        </w:rPr>
        <w:t>10人</w:t>
      </w:r>
    </w:p>
    <w:p w:rsidR="001D1410" w:rsidRPr="001D1410" w:rsidRDefault="001D1410" w:rsidP="001D1410">
      <w:pPr>
        <w:widowControl/>
        <w:rPr>
          <w:rFonts w:ascii="PingFang SC" w:eastAsia="PingFang SC" w:hAnsi="PingFang SC" w:cs="宋体" w:hint="eastAsia"/>
          <w:spacing w:val="8"/>
          <w:kern w:val="0"/>
          <w:sz w:val="23"/>
          <w:szCs w:val="23"/>
        </w:rPr>
      </w:pPr>
      <w:r w:rsidRPr="001D1410">
        <w:rPr>
          <w:rFonts w:ascii="PingFang SC" w:eastAsia="PingFang SC" w:hAnsi="PingFang SC" w:cs="宋体" w:hint="eastAsia"/>
          <w:spacing w:val="8"/>
          <w:kern w:val="0"/>
          <w:sz w:val="23"/>
          <w:szCs w:val="23"/>
        </w:rPr>
        <w:t>【导读】2026年3月31日，武汉萝卜快跑全城系统性故障事件，绝非单个企业的运营事故，将成为中国自动驾驶行业发展与监管演进的历史性转折点。 </w:t>
      </w:r>
    </w:p>
    <w:p w:rsidR="001D1410" w:rsidRPr="001D1410" w:rsidRDefault="001D1410" w:rsidP="001D1410">
      <w:pPr>
        <w:widowControl/>
        <w:rPr>
          <w:rFonts w:ascii="PingFang SC" w:eastAsia="PingFang SC" w:hAnsi="PingFang SC" w:cs="宋体" w:hint="eastAsia"/>
          <w:spacing w:val="8"/>
          <w:kern w:val="0"/>
          <w:sz w:val="24"/>
        </w:rPr>
      </w:pPr>
      <w:r w:rsidRPr="001D1410">
        <w:rPr>
          <w:rFonts w:ascii="Arial" w:eastAsia="PingFang SC" w:hAnsi="Arial" w:cs="Arial"/>
          <w:color w:val="000000"/>
          <w:kern w:val="0"/>
          <w:sz w:val="24"/>
        </w:rPr>
        <w:t>事件发生后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14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天内，从国家三部门紧急召开全国安全监管会议，超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10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个试点城市同步收紧准入、暂停扩区、全面排查，整个行业的监管逻辑发生了逆转。此前十年地方先行先试、包容审慎监管、鼓励创新试错的政策基调，逐步转向安全底线刚性化、全链条责任闭环化。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本文核心聚焦：武汉事件暴露了此前监管体系的哪些核心漏洞？国家层面正在构建怎样的全新监管框架？这一转向将如何重塑中国自动驾驶产业的发展节奏与终局格局？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br/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48"/>
          <w:szCs w:val="48"/>
        </w:rPr>
        <w:t>01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监管逻辑的十年转向：从为创新松绑到为安全立规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中国自动驾驶的监管体系，始终与产业发展阶段深度绑定。过去十年，监管的核心目标是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为技术创新扫清制度障碍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，因此形成了地方试点为主、中央规范引导、容错空间较大的监管模式。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这一模式在产业初期发挥了关键作用：通过地方先行先试，解决了无人车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能不能上路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的核心问题，积累了丰富的技术与运营数据，推动中国智驾产业实现了从跟跑到领跑的跨越。但随着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L4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级自动驾驶进入规模化运营阶段，这种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分散化、试点式、容错型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的监管体系，逐渐暴露出了无法适配产业新阶段的核心漏洞：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第一、系统性安全监管空白。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此前的监管重点集中在单车安全、单次事故处置，完全没有针对云端故障引发全城级、系统性瘫痪的极端场景设计监管规则。武汉事件中，近百台车辆同时停在主干道造成大面积拥堵，暴露了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云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-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网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-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车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一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lastRenderedPageBreak/>
        <w:t>体化架构下，系统性风险的传导性、破坏性远超传统交通事故，而原有监管体系对此毫无预案。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第二、地方监管标准不统一，安全底线参差不齐。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各试点城市为了吸引企业落地，在准入门槛、安全要求、应急标准上存在明显差异。部分城市为了追求全国首个、规模最大的名头，放松了对企业安全能力的审核，导致一些安全体系尚未成熟的企业提前进入规模化运营阶段，埋下了重大安全隐患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第三、责任链条不闭环，应急处置机制失效。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此前的监管规则更多聚焦于准入环节，对运营过程中的动态监管、故障应急、乘客权益保障等环节规定模糊。武汉事件中，车内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SOS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失效、客服无人响应、救援严重滞后，正是运营端监管缺位的直接体现。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武汉事件用最极端的方式，给整个行业和监管部门敲响了警钟：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当自动驾驶从单车试点进入规模化城市运营阶段，安全风险已经从个体事故风险升级为城市公共安全风险。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br/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监管必须从鼓励创新试错转向守住公共安全底线，这是不可逆转的必然趋势。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br/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48"/>
          <w:szCs w:val="48"/>
        </w:rPr>
        <w:t>02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全新监管框架的核心：构建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全国统一、全链条、系统性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的安全管控体系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从三部门会议精神及各地已出台的监管措施来看，国家层面正在快速构建一套全新的自动驾驶监管框架。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从单车安全监管转向系统性安全全链条监管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武汉事件最核心的教训，就是自动驾驶的安全不再是单车安全，而是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云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-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网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-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边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-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车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一体化的系统性安全。新监管框架将监管范围从单车扩展到了全链条：云端监管：要求云控平台必须具备多区域冗余、故障隔离、快速降级能力，禁止采用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单中心云控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架构，云端故障时必须保证车端具备独立的最小安全运行能力；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车端监管：在原有单车安全要求的基础上，强制要求配备独立的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最小安全系统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，在云端、网络、主系统全部失效的情况下，仍能自主完成缓停、靠边、双闪、车门解锁等应急操作；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运营监管：将运营企业的安全管理体系、应急处置能力、人员培训情况纳入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lastRenderedPageBreak/>
        <w:t>监管范围，建立运营安全动态评价机制，评价不合格的暂停运营、限期整改。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从准入式监管转向全生命周期动态监管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此前的监管更多集中在准入环节，企业拿到运营资质后，后续的运营过程监管相对宽松。新监管框架下，将建立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“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准入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-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运营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-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退出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的全生命周期动态监管机制：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严格准入审查：提高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L4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级运营的准入门槛，将系统性安全能力、应急处置能力、安全管理体系作为核心审查内容，实行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安全一票否决制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；强化动态监管：建立日常抽查、月度安全评估、季度合规审计制度，对企业的运营安全、数据上报、应急处置情况进行持续监控；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完善退出机制：明确规定，发生重大系统性故障、造成严重社会影响的企业，立即吊销运营资质，且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3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年内不得重新申请；发生多次一般事故、整改不合格的企业，暂停运营、缩减运力，直至清退出市场。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从责任模糊转向企业全链条责任兜底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预计新监管框架进一步压实了企业的安全主体责任，明确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运营企业是自动驾驶安全的第一责任人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。企业对车辆的设计、生产、运营、维护全链条安全负责，发生任何安全事故或故障，首先由运营企业承担责任，再向相关责任方追偿；明确要求企业建立安全事故与故障的先行赔付机制，优先保障乘客的人身安全与合法权益，不得推诿扯皮；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建立企业安全信用档案，将企业的安全事故、故障处置、合规情况纳入自动驾驶信用体系，与运营资质审批、运力扩容、政策扶持直接挂钩。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br/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48"/>
          <w:szCs w:val="48"/>
        </w:rPr>
        <w:t>03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监管转向对行业的深层影响：安全成为行业分水岭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这次监管逻辑的根本性转向，将对中国自动驾驶产业产生深远而持久的影响，整个行业的发展节奏、竞争格局、商业模式都将随之重构。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一是行业发展节奏放缓，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从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“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拼速度、拼规模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”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转向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“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拼安全、拼合规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”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过去几年，行业陷入了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比谁先无人化、比谁运营城市多、比谁运力规模大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的内卷。监管收紧后，所有企业都必须暂停盲目扩张，将重心转移到安全体系建设与合规整改上。预计未来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1-2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年，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L4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级自动驾驶的规模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lastRenderedPageBreak/>
        <w:t>化扩张速度将明显放缓，行业进入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安全合规调整期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二是行业准入门槛大幅提高，中小玩家加速出清。新的监管要求，意味着企业需要在技术架构、安全体系、应急能力、合规管理等方面投入巨额资金。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对于资金实力不足、技术积累薄弱的中小玩家来说，很难满足如此高的安全与合规要求，将逐步被清退出市场。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行业资源将进一步向头部企业集中，市场格局将从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百花齐放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转向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“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少数头部企业竞争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”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三是商业化路径更加清晰，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B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端场景优先于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C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端场景。监管收紧后，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C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端乘用车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L4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的落地节奏将进一步推迟，而封闭园区、矿区、港口、干线物流等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B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端场景，由于风险可控、监管难度低，将成为未来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3-5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年自动驾驶商业化落地的核心方向。企业将更多资源投入到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B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端场景，通过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B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端场景的商业化盈利，反哺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C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端技术的研发与迭代。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br/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48"/>
          <w:szCs w:val="48"/>
        </w:rPr>
        <w:t>04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结语：安全是自动驾驶的生命线，也是产业行稳致远的基石</w:t>
      </w:r>
      <w:r w:rsidRPr="001D1410">
        <w:rPr>
          <w:rFonts w:ascii="Arial" w:eastAsia="PingFang SC" w:hAnsi="Arial" w:cs="Arial"/>
          <w:b/>
          <w:bCs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武汉事件是中国自动驾驶产业发展过程中的一次重要挫折，但也是一次宝贵的警醒。它让整个行业和监管部门都清醒地认识到：自动驾驶的终极目标是更安全的出行，任何时候都不能以牺牲安全为代价追求速度与规模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监管的收紧，不是为了限制行业发展，而是为了扫清产业规模化落地的最大障碍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——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公众信任。只有当监管体系足够完善、企业的安全能力足够成熟、公众对自动驾驶的信任足够牢固时，高阶自动驾驶才能真正走进千家万户。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 xml:space="preserve">  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对中国自动驾驶产业而言，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过去十年是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“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技术突破的十年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”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，未来十年将是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“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安全合规与商业化落地的十年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”</w:t>
      </w:r>
      <w:r w:rsidRPr="001D1410">
        <w:rPr>
          <w:rFonts w:ascii="Arial" w:eastAsia="PingFang SC" w:hAnsi="Arial" w:cs="Arial"/>
          <w:b/>
          <w:bCs/>
          <w:color w:val="0052FF"/>
          <w:kern w:val="0"/>
          <w:sz w:val="24"/>
        </w:rPr>
        <w:t>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t>那些真正把安全刻进基因、主动拥抱监管、扎实打磨技术的企业，终将穿越周期，迎来行业的真正爆发。</w:t>
      </w:r>
      <w:r w:rsidRPr="001D1410">
        <w:rPr>
          <w:rFonts w:ascii="Arial" w:eastAsia="PingFang SC" w:hAnsi="Arial" w:cs="Arial"/>
          <w:color w:val="000000"/>
          <w:kern w:val="0"/>
          <w:sz w:val="24"/>
        </w:rPr>
        <w:br/>
      </w:r>
    </w:p>
    <w:p w:rsidR="001D1410" w:rsidRPr="001D1410" w:rsidRDefault="00141D50" w:rsidP="001D1410">
      <w:pPr>
        <w:widowControl/>
        <w:rPr>
          <w:rFonts w:ascii="PingFang SC" w:eastAsia="PingFang SC" w:hAnsi="PingFang SC" w:cs="宋体" w:hint="eastAsia"/>
          <w:spacing w:val="8"/>
          <w:kern w:val="0"/>
          <w:sz w:val="24"/>
        </w:rPr>
      </w:pPr>
      <w:r w:rsidRPr="00141D50">
        <w:rPr>
          <w:rFonts w:ascii="PingFang SC" w:eastAsia="PingFang SC" w:hAnsi="PingFang SC" w:cs="宋体" w:hint="eastAsia"/>
          <w:noProof/>
          <w:spacing w:val="8"/>
          <w:kern w:val="0"/>
          <w:sz w:val="24"/>
          <w14:ligatures w14:val="standardContextual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1D1410" w:rsidRPr="001D1410" w:rsidRDefault="001D1410" w:rsidP="001D1410">
      <w:pPr>
        <w:widowControl/>
        <w:rPr>
          <w:rFonts w:ascii="PingFang SC" w:eastAsia="PingFang SC" w:hAnsi="PingFang SC" w:cs="宋体" w:hint="eastAsia"/>
          <w:spacing w:val="8"/>
          <w:kern w:val="0"/>
          <w:sz w:val="24"/>
        </w:rPr>
      </w:pPr>
      <w:r w:rsidRPr="001D1410">
        <w:rPr>
          <w:rFonts w:ascii="Arial" w:eastAsia="PingFang SC" w:hAnsi="Arial" w:cs="Arial"/>
          <w:color w:val="000000"/>
          <w:kern w:val="0"/>
          <w:sz w:val="24"/>
        </w:rPr>
        <w:lastRenderedPageBreak/>
        <w:br/>
      </w:r>
    </w:p>
    <w:p w:rsidR="001D1410" w:rsidRPr="001D1410" w:rsidRDefault="001D1410" w:rsidP="001D1410">
      <w:pPr>
        <w:widowControl/>
        <w:jc w:val="left"/>
        <w:rPr>
          <w:rFonts w:ascii="Helvetica Neue" w:eastAsia="PingFang SC" w:hAnsi="Helvetica Neue" w:cs="宋体" w:hint="eastAsia"/>
          <w:spacing w:val="8"/>
          <w:kern w:val="0"/>
          <w:sz w:val="24"/>
        </w:rPr>
      </w:pPr>
      <w:r w:rsidRPr="001D1410">
        <w:rPr>
          <w:rFonts w:ascii="Helvetica Neue" w:eastAsia="PingFang SC" w:hAnsi="Helvetica Neue" w:cs="宋体"/>
          <w:spacing w:val="8"/>
          <w:kern w:val="0"/>
          <w:sz w:val="24"/>
        </w:rPr>
        <w:fldChar w:fldCharType="begin"/>
      </w:r>
      <w:r w:rsidRPr="001D1410">
        <w:rPr>
          <w:rFonts w:ascii="Helvetica Neue" w:eastAsia="PingFang SC" w:hAnsi="Helvetica Neue" w:cs="宋体"/>
          <w:spacing w:val="8"/>
          <w:kern w:val="0"/>
          <w:sz w:val="24"/>
        </w:rPr>
        <w:instrText xml:space="preserve"> INCLUDEPICTURE "http://mmbiz.qpic.cn/mmbiz_png/Biaa57qdZ9IcqZUMeFibf5Rhn6lgtDLuvOPjrMESMWQCh6mjK54uDNyQU07q7ctY8PwqfFfI1lNUR1aLNs6ib0SqQ/300?wx_fmt=png&amp;wxfrom=19" \* MERGEFORMATINET </w:instrText>
      </w:r>
      <w:r w:rsidRPr="001D1410">
        <w:rPr>
          <w:rFonts w:ascii="Helvetica Neue" w:eastAsia="PingFang SC" w:hAnsi="Helvetica Neue" w:cs="宋体"/>
          <w:spacing w:val="8"/>
          <w:kern w:val="0"/>
          <w:sz w:val="24"/>
        </w:rPr>
        <w:fldChar w:fldCharType="separate"/>
      </w:r>
      <w:r w:rsidRPr="001D1410">
        <w:rPr>
          <w:rFonts w:ascii="Helvetica Neue" w:eastAsia="PingFang SC" w:hAnsi="Helvetica Neue" w:cs="宋体"/>
          <w:noProof/>
          <w:spacing w:val="8"/>
          <w:kern w:val="0"/>
          <w:sz w:val="24"/>
        </w:rPr>
        <w:drawing>
          <wp:inline distT="0" distB="0" distL="0" distR="0">
            <wp:extent cx="1906270" cy="1906270"/>
            <wp:effectExtent l="0" t="0" r="0" b="0"/>
            <wp:docPr id="3522032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1410">
        <w:rPr>
          <w:rFonts w:ascii="Helvetica Neue" w:eastAsia="PingFang SC" w:hAnsi="Helvetica Neue" w:cs="宋体"/>
          <w:spacing w:val="8"/>
          <w:kern w:val="0"/>
          <w:sz w:val="24"/>
        </w:rPr>
        <w:fldChar w:fldCharType="end"/>
      </w:r>
    </w:p>
    <w:p w:rsidR="001D1410" w:rsidRPr="001D1410" w:rsidRDefault="001D1410" w:rsidP="001D1410">
      <w:pPr>
        <w:widowControl/>
        <w:jc w:val="left"/>
        <w:rPr>
          <w:rFonts w:ascii="Helvetica Neue" w:eastAsia="PingFang SC" w:hAnsi="Helvetica Neue" w:cs="宋体"/>
          <w:spacing w:val="8"/>
          <w:kern w:val="0"/>
          <w:sz w:val="26"/>
          <w:szCs w:val="26"/>
        </w:rPr>
      </w:pPr>
      <w:r w:rsidRPr="001D1410">
        <w:rPr>
          <w:rFonts w:ascii="Helvetica Neue" w:eastAsia="PingFang SC" w:hAnsi="Helvetica Neue" w:cs="宋体"/>
          <w:spacing w:val="8"/>
          <w:kern w:val="0"/>
          <w:sz w:val="26"/>
          <w:szCs w:val="26"/>
        </w:rPr>
        <w:t>智驾政研室</w:t>
      </w:r>
    </w:p>
    <w:p w:rsidR="001D1410" w:rsidRPr="001D1410" w:rsidRDefault="001D1410" w:rsidP="001D1410">
      <w:pPr>
        <w:widowControl/>
        <w:jc w:val="left"/>
        <w:rPr>
          <w:rFonts w:ascii="Helvetica Neue" w:eastAsia="PingFang SC" w:hAnsi="Helvetica Neue" w:cs="宋体"/>
          <w:spacing w:val="8"/>
          <w:kern w:val="0"/>
          <w:szCs w:val="21"/>
        </w:rPr>
      </w:pPr>
      <w:r w:rsidRPr="001D1410">
        <w:rPr>
          <w:rFonts w:ascii="Helvetica Neue" w:eastAsia="PingFang SC" w:hAnsi="Helvetica Neue" w:cs="宋体"/>
          <w:spacing w:val="8"/>
          <w:kern w:val="0"/>
          <w:szCs w:val="21"/>
        </w:rPr>
        <w:t>提供中国智能驾驶行业发展研究成果。</w:t>
      </w:r>
    </w:p>
    <w:p w:rsidR="001D1410" w:rsidRPr="001D1410" w:rsidRDefault="001D1410" w:rsidP="001D1410">
      <w:pPr>
        <w:widowControl/>
        <w:jc w:val="left"/>
        <w:rPr>
          <w:rFonts w:ascii="Helvetica Neue" w:eastAsia="PingFang SC" w:hAnsi="Helvetica Neue" w:cs="宋体"/>
          <w:spacing w:val="8"/>
          <w:kern w:val="0"/>
          <w:szCs w:val="21"/>
        </w:rPr>
      </w:pPr>
      <w:r w:rsidRPr="001D1410">
        <w:rPr>
          <w:rFonts w:ascii="Helvetica Neue" w:eastAsia="PingFang SC" w:hAnsi="Helvetica Neue" w:cs="宋体"/>
          <w:spacing w:val="8"/>
          <w:kern w:val="0"/>
          <w:szCs w:val="21"/>
        </w:rPr>
        <w:t>41</w:t>
      </w:r>
      <w:r w:rsidRPr="001D1410">
        <w:rPr>
          <w:rFonts w:ascii="Helvetica Neue" w:eastAsia="PingFang SC" w:hAnsi="Helvetica Neue" w:cs="宋体"/>
          <w:spacing w:val="8"/>
          <w:kern w:val="0"/>
          <w:szCs w:val="21"/>
        </w:rPr>
        <w:t>篇原创内容</w:t>
      </w:r>
    </w:p>
    <w:p w:rsidR="001D1410" w:rsidRPr="001D1410" w:rsidRDefault="001D1410" w:rsidP="001D1410">
      <w:pPr>
        <w:widowControl/>
        <w:jc w:val="left"/>
        <w:rPr>
          <w:rFonts w:ascii="Helvetica Neue" w:eastAsia="PingFang SC" w:hAnsi="Helvetica Neue" w:cs="宋体"/>
          <w:spacing w:val="8"/>
          <w:kern w:val="0"/>
          <w:szCs w:val="21"/>
        </w:rPr>
      </w:pPr>
      <w:r w:rsidRPr="001D1410">
        <w:rPr>
          <w:rFonts w:ascii="Helvetica Neue" w:eastAsia="PingFang SC" w:hAnsi="Helvetica Neue" w:cs="宋体"/>
          <w:spacing w:val="8"/>
          <w:kern w:val="0"/>
          <w:szCs w:val="21"/>
        </w:rPr>
        <w:t>公众号</w:t>
      </w:r>
    </w:p>
    <w:p w:rsidR="001D1410" w:rsidRPr="001D1410" w:rsidRDefault="001D1410" w:rsidP="001D1410">
      <w:pPr>
        <w:widowControl/>
        <w:jc w:val="center"/>
        <w:rPr>
          <w:rFonts w:ascii="PingFang SC" w:eastAsia="PingFang SC" w:hAnsi="PingFang SC" w:cs="宋体"/>
          <w:spacing w:val="8"/>
          <w:kern w:val="0"/>
          <w:sz w:val="24"/>
        </w:rPr>
      </w:pPr>
      <w:r w:rsidRPr="001D1410">
        <w:rPr>
          <w:rFonts w:ascii="PingFang SC" w:eastAsia="PingFang SC" w:hAnsi="PingFang SC" w:cs="宋体" w:hint="eastAsia"/>
          <w:b/>
          <w:bCs/>
          <w:color w:val="0052FF"/>
          <w:spacing w:val="8"/>
          <w:kern w:val="0"/>
          <w:sz w:val="24"/>
        </w:rPr>
        <w:t>Tips：记得点击“智驾政研室”名片，设为星标</w:t>
      </w:r>
      <w:r w:rsidRPr="001D1410">
        <w:rPr>
          <w:rFonts w:ascii="Apple Color Emoji" w:eastAsia="PingFang SC" w:hAnsi="Apple Color Emoji" w:cs="Apple Color Emoji"/>
          <w:b/>
          <w:bCs/>
          <w:color w:val="0052FF"/>
          <w:spacing w:val="8"/>
          <w:kern w:val="0"/>
          <w:sz w:val="24"/>
        </w:rPr>
        <w:t>⭐️</w:t>
      </w:r>
      <w:r w:rsidRPr="001D1410">
        <w:rPr>
          <w:rFonts w:ascii="PingFang SC" w:eastAsia="PingFang SC" w:hAnsi="PingFang SC" w:cs="宋体" w:hint="eastAsia"/>
          <w:b/>
          <w:bCs/>
          <w:color w:val="0052FF"/>
          <w:spacing w:val="8"/>
          <w:kern w:val="0"/>
          <w:sz w:val="24"/>
        </w:rPr>
        <w:t>，文章会自动推送哦！</w:t>
      </w:r>
    </w:p>
    <w:p w:rsidR="001D1410" w:rsidRPr="001D1410" w:rsidRDefault="001D1410" w:rsidP="001D1410">
      <w:pPr>
        <w:widowControl/>
        <w:jc w:val="left"/>
        <w:rPr>
          <w:rFonts w:ascii="PingFang SC" w:eastAsia="PingFang SC" w:hAnsi="PingFang SC" w:cs="宋体" w:hint="eastAsia"/>
          <w:kern w:val="0"/>
          <w:szCs w:val="21"/>
        </w:rPr>
      </w:pPr>
      <w:r w:rsidRPr="001D1410">
        <w:rPr>
          <w:rFonts w:ascii="PingFang SC" w:eastAsia="PingFang SC" w:hAnsi="PingFang SC" w:cs="宋体" w:hint="eastAsia"/>
          <w:kern w:val="0"/>
          <w:szCs w:val="21"/>
        </w:rPr>
        <w:t>阅读 1073</w:t>
      </w:r>
    </w:p>
    <w:p w:rsidR="001D1410" w:rsidRPr="001D1410" w:rsidRDefault="001D1410" w:rsidP="001D1410">
      <w:pPr>
        <w:widowControl/>
        <w:shd w:val="clear" w:color="auto" w:fill="FFFFFF"/>
        <w:jc w:val="left"/>
        <w:rPr>
          <w:rFonts w:ascii="PingFang SC" w:eastAsia="PingFang SC" w:hAnsi="PingFang SC" w:cs="宋体" w:hint="eastAsia"/>
          <w:spacing w:val="8"/>
          <w:kern w:val="0"/>
          <w:sz w:val="2"/>
          <w:szCs w:val="2"/>
        </w:rPr>
      </w:pPr>
      <w:r w:rsidRPr="001D1410">
        <w:rPr>
          <w:rFonts w:ascii="Arial" w:eastAsia="PingFang SC" w:hAnsi="Arial" w:cs="Arial"/>
          <w:spacing w:val="8"/>
          <w:kern w:val="0"/>
          <w:sz w:val="2"/>
          <w:szCs w:val="2"/>
        </w:rPr>
        <w:t>​</w:t>
      </w:r>
    </w:p>
    <w:p w:rsidR="001D1410" w:rsidRPr="001D1410" w:rsidRDefault="001D1410" w:rsidP="001D1410">
      <w:pPr>
        <w:widowControl/>
        <w:jc w:val="left"/>
        <w:rPr>
          <w:rFonts w:ascii="PingFang SC" w:eastAsia="PingFang SC" w:hAnsi="PingFang SC" w:cs="宋体" w:hint="eastAsia"/>
          <w:kern w:val="0"/>
          <w:sz w:val="24"/>
        </w:rPr>
      </w:pPr>
      <w:r w:rsidRPr="001D1410">
        <w:rPr>
          <w:rFonts w:ascii="PingFang SC" w:eastAsia="PingFang SC" w:hAnsi="PingFang SC" w:cs="宋体" w:hint="eastAsia"/>
          <w:kern w:val="0"/>
          <w:sz w:val="23"/>
          <w:szCs w:val="23"/>
        </w:rPr>
        <w:t>留言</w:t>
      </w:r>
    </w:p>
    <w:p w:rsidR="001D1410" w:rsidRPr="001D1410" w:rsidRDefault="001D1410" w:rsidP="001D1410">
      <w:pPr>
        <w:widowControl/>
        <w:spacing w:line="600" w:lineRule="atLeast"/>
        <w:jc w:val="left"/>
        <w:rPr>
          <w:rFonts w:ascii="PingFang SC" w:eastAsia="PingFang SC" w:hAnsi="PingFang SC" w:cs="宋体" w:hint="eastAsia"/>
          <w:kern w:val="0"/>
          <w:szCs w:val="21"/>
        </w:rPr>
      </w:pPr>
      <w:r w:rsidRPr="001D1410">
        <w:rPr>
          <w:rFonts w:ascii="PingFang SC" w:eastAsia="PingFang SC" w:hAnsi="PingFang SC" w:cs="宋体" w:hint="eastAsia"/>
          <w:kern w:val="0"/>
          <w:szCs w:val="21"/>
        </w:rPr>
        <w:t>写留言</w:t>
      </w:r>
    </w:p>
    <w:p w:rsidR="001D1410" w:rsidRDefault="001D1410"/>
    <w:sectPr w:rsidR="001D1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10"/>
    <w:rsid w:val="00141D50"/>
    <w:rsid w:val="001D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969B22-9F79-FD4D-85F2-9D77C561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14:ligatures w14:val="none"/>
    </w:rPr>
  </w:style>
  <w:style w:type="paragraph" w:styleId="1">
    <w:name w:val="heading 1"/>
    <w:basedOn w:val="a"/>
    <w:link w:val="10"/>
    <w:uiPriority w:val="9"/>
    <w:qFormat/>
    <w:rsid w:val="001D141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rPr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410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jstitleinner">
    <w:name w:val="js_title_inner"/>
    <w:basedOn w:val="a0"/>
    <w:rsid w:val="001D1410"/>
  </w:style>
  <w:style w:type="character" w:customStyle="1" w:styleId="wxtaplink">
    <w:name w:val="wx_tap_link"/>
    <w:basedOn w:val="a0"/>
    <w:rsid w:val="001D1410"/>
  </w:style>
  <w:style w:type="character" w:customStyle="1" w:styleId="richmediameta">
    <w:name w:val="rich_media_meta"/>
    <w:basedOn w:val="a0"/>
    <w:rsid w:val="001D1410"/>
  </w:style>
  <w:style w:type="character" w:styleId="a3">
    <w:name w:val="Hyperlink"/>
    <w:basedOn w:val="a0"/>
    <w:uiPriority w:val="99"/>
    <w:semiHidden/>
    <w:unhideWhenUsed/>
    <w:rsid w:val="001D1410"/>
    <w:rPr>
      <w:color w:val="0000FF"/>
      <w:u w:val="single"/>
    </w:rPr>
  </w:style>
  <w:style w:type="character" w:styleId="a4">
    <w:name w:val="Emphasis"/>
    <w:basedOn w:val="a0"/>
    <w:uiPriority w:val="20"/>
    <w:qFormat/>
    <w:rsid w:val="001D1410"/>
    <w:rPr>
      <w:i/>
      <w:iCs/>
    </w:rPr>
  </w:style>
  <w:style w:type="paragraph" w:styleId="a5">
    <w:name w:val="Normal (Web)"/>
    <w:basedOn w:val="a"/>
    <w:uiPriority w:val="99"/>
    <w:semiHidden/>
    <w:unhideWhenUsed/>
    <w:rsid w:val="001D14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wxsearchkeywordwrap">
    <w:name w:val="wx_search_keyword_wrap"/>
    <w:basedOn w:val="a0"/>
    <w:rsid w:val="001D1410"/>
  </w:style>
  <w:style w:type="character" w:styleId="a6">
    <w:name w:val="Strong"/>
    <w:basedOn w:val="a0"/>
    <w:uiPriority w:val="22"/>
    <w:qFormat/>
    <w:rsid w:val="001D1410"/>
    <w:rPr>
      <w:b/>
      <w:bCs/>
    </w:rPr>
  </w:style>
  <w:style w:type="character" w:customStyle="1" w:styleId="wxprofiletipsmeta">
    <w:name w:val="wx_profile_tips_meta"/>
    <w:basedOn w:val="a0"/>
    <w:rsid w:val="001D1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5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1862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766418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8" w:space="8" w:color="DBDBDB"/>
                        <w:bottom w:val="none" w:sz="0" w:space="0" w:color="auto"/>
                        <w:right w:val="none" w:sz="0" w:space="0" w:color="auto"/>
                      </w:divBdr>
                    </w:div>
                    <w:div w:id="11793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4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75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7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29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1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7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100408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08270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160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828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2921">
                      <w:marLeft w:val="0"/>
                      <w:marRight w:val="0"/>
                      <w:marTop w:val="4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5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7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4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4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9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89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8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5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02986">
                                          <w:marLeft w:val="0"/>
                                          <w:marRight w:val="0"/>
                                          <w:marTop w:val="36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51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5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8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YUXIN</dc:creator>
  <cp:keywords/>
  <dc:description/>
  <cp:lastModifiedBy>ZHANG, YUXIN</cp:lastModifiedBy>
  <cp:revision>1</cp:revision>
  <dcterms:created xsi:type="dcterms:W3CDTF">2026-04-26T08:10:00Z</dcterms:created>
  <dcterms:modified xsi:type="dcterms:W3CDTF">2026-04-26T08:10:00Z</dcterms:modified>
</cp:coreProperties>
</file>