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Jost, Calibri, Arial" w:cs="Jost, Calibri, Arial" w:eastAsia="Jost, Calibri, Arial" w:hAnsi="Jost, Calibri, Arial"/>
          <w:b/>
          <w:bCs/>
          <w:color w:val="0F3765"/>
          <w:sz w:val="56"/>
          <w:szCs w:val="56"/>
        </w:rPr>
        <w:t xml:space="preserve">Autom8ly Q1 Results</w:t>
      </w:r>
    </w:p>
    <w:p>
      <w:pPr>
        <w:spacing w:after="240"/>
        <w:jc w:val="center"/>
      </w:pPr>
      <w:r>
        <w:rPr>
          <w:rFonts w:ascii="Jost, Calibri, Arial" w:cs="Jost, Calibri, Arial" w:eastAsia="Jost, Calibri, Arial" w:hAnsi="Jost, Calibri, Arial"/>
          <w:b w:val="false"/>
          <w:bCs w:val="false"/>
          <w:color w:val="1A1A2E"/>
          <w:sz w:val="28"/>
          <w:szCs w:val="28"/>
        </w:rPr>
        <w:t xml:space="preserve">Board Summary Report</w:t>
      </w:r>
    </w:p>
    <w:p>
      <w:pPr>
        <w:pBdr>
          <w:bottom w:val="single" w:color="F9824F" w:sz="12"/>
        </w:pBdr>
        <w:spacing w:after="240"/>
      </w:pPr>
    </w:p>
    <w:p>
      <w:pPr>
        <w:pStyle w:val="Heading2"/>
        <w:spacing w:after="180" w:before="180"/>
      </w:pPr>
      <w:r>
        <w:rPr>
          <w:rFonts w:ascii="Jost, Calibri, Arial" w:cs="Jost, Calibri, Arial" w:eastAsia="Jost, Calibri, Arial" w:hAnsi="Jost, Calibri, Arial"/>
          <w:b/>
          <w:bCs/>
          <w:color w:val="0F3765"/>
          <w:sz w:val="36"/>
          <w:szCs w:val="36"/>
        </w:rPr>
        <w:t xml:space="preserve">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6"/>
              <w:left w:val="single" w:color="E5E7EB" w:sz="6"/>
              <w:bottom w:val="single" w:color="E5E7EB" w:sz="6"/>
              <w:right w:val="single" w:color="E5E7EB" w:sz="6"/>
            </w:tcBorders>
            <w:shd w:fill="0F3765" w:val="clear"/>
            <w:tcMar>
              <w:top w:type="dxa" w:w="80"/>
              <w:left w:type="dxa" w:w="120"/>
              <w:bottom w:type="dxa" w:w="80"/>
              <w:right w:type="dxa" w:w="120"/>
            </w:tcMar>
          </w:tcPr>
          <w:p>
            <w:pPr>
              <w:jc w:val="center"/>
            </w:pPr>
            <w:r>
              <w:rPr>
                <w:rFonts w:ascii="Jost, Calibri, Arial" w:cs="Jost, Calibri, Arial" w:eastAsia="Jost, Calibri, Arial" w:hAnsi="Jost, Calibri, Arial"/>
                <w:b/>
                <w:bCs/>
                <w:color w:val="FFFFFF"/>
                <w:sz w:val="22"/>
                <w:szCs w:val="22"/>
              </w:rPr>
              <w:t xml:space="preserve">Revenue</w:t>
            </w:r>
          </w:p>
        </w:tc>
        <w:tc>
          <w:tcPr>
            <w:tcW w:type="dxa" w:w="3120"/>
            <w:tcBorders>
              <w:top w:val="single" w:color="E5E7EB" w:sz="6"/>
              <w:left w:val="single" w:color="E5E7EB" w:sz="6"/>
              <w:bottom w:val="single" w:color="E5E7EB" w:sz="6"/>
              <w:right w:val="single" w:color="E5E7EB" w:sz="6"/>
            </w:tcBorders>
            <w:shd w:fill="0F3765" w:val="clear"/>
            <w:tcMar>
              <w:top w:type="dxa" w:w="80"/>
              <w:left w:type="dxa" w:w="120"/>
              <w:bottom w:type="dxa" w:w="80"/>
              <w:right w:type="dxa" w:w="120"/>
            </w:tcMar>
          </w:tcPr>
          <w:p>
            <w:pPr>
              <w:jc w:val="center"/>
            </w:pPr>
            <w:r>
              <w:rPr>
                <w:rFonts w:ascii="Jost, Calibri, Arial" w:cs="Jost, Calibri, Arial" w:eastAsia="Jost, Calibri, Arial" w:hAnsi="Jost, Calibri, Arial"/>
                <w:b/>
                <w:bCs/>
                <w:color w:val="FFFFFF"/>
                <w:sz w:val="22"/>
                <w:szCs w:val="22"/>
              </w:rPr>
              <w:t xml:space="preserve">New Customers</w:t>
            </w:r>
          </w:p>
        </w:tc>
        <w:tc>
          <w:tcPr>
            <w:tcW w:type="dxa" w:w="3120"/>
            <w:tcBorders>
              <w:top w:val="single" w:color="E5E7EB" w:sz="6"/>
              <w:left w:val="single" w:color="E5E7EB" w:sz="6"/>
              <w:bottom w:val="single" w:color="E5E7EB" w:sz="6"/>
              <w:right w:val="single" w:color="E5E7EB" w:sz="6"/>
            </w:tcBorders>
            <w:shd w:fill="0F3765" w:val="clear"/>
            <w:tcMar>
              <w:top w:type="dxa" w:w="80"/>
              <w:left w:type="dxa" w:w="120"/>
              <w:bottom w:type="dxa" w:w="80"/>
              <w:right w:type="dxa" w:w="120"/>
            </w:tcMar>
          </w:tcPr>
          <w:p>
            <w:pPr>
              <w:jc w:val="center"/>
            </w:pPr>
            <w:r>
              <w:rPr>
                <w:rFonts w:ascii="Jost, Calibri, Arial" w:cs="Jost, Calibri, Arial" w:eastAsia="Jost, Calibri, Arial" w:hAnsi="Jost, Calibri, Arial"/>
                <w:b/>
                <w:bCs/>
                <w:color w:val="FFFFFF"/>
                <w:sz w:val="22"/>
                <w:szCs w:val="22"/>
              </w:rPr>
              <w:t xml:space="preserve">NPS Score</w:t>
            </w:r>
          </w:p>
        </w:tc>
      </w:tr>
      <w:tr>
        <w:tc>
          <w:tcPr>
            <w:tcW w:type="dxa" w:w="3120"/>
            <w:tcBorders>
              <w:top w:val="single" w:color="E5E7EB" w:sz="6"/>
              <w:left w:val="single" w:color="E5E7EB" w:sz="6"/>
              <w:bottom w:val="single" w:color="E5E7EB" w:sz="6"/>
              <w:right w:val="single" w:color="E5E7EB" w:sz="6"/>
            </w:tcBorders>
            <w:shd w:fill="F5F7FA" w:val="clear"/>
            <w:tcMar>
              <w:top w:type="dxa" w:w="80"/>
              <w:left w:type="dxa" w:w="120"/>
              <w:bottom w:type="dxa" w:w="80"/>
              <w:right w:type="dxa" w:w="120"/>
            </w:tcMar>
          </w:tcPr>
          <w:p>
            <w:pPr>
              <w:jc w:val="center"/>
            </w:pPr>
            <w:r>
              <w:rPr>
                <w:rFonts w:ascii="Jost, Calibri, Arial" w:cs="Jost, Calibri, Arial" w:eastAsia="Jost, Calibri, Arial" w:hAnsi="Jost, Calibri, Arial"/>
                <w:b w:val="false"/>
                <w:bCs w:val="false"/>
                <w:color w:val="1A1A2E"/>
                <w:sz w:val="22"/>
                <w:szCs w:val="22"/>
              </w:rPr>
              <w:t xml:space="preserve">$2.4M</w:t>
            </w:r>
          </w:p>
        </w:tc>
        <w:tc>
          <w:tcPr>
            <w:tcW w:type="dxa" w:w="3120"/>
            <w:tcBorders>
              <w:top w:val="single" w:color="E5E7EB" w:sz="6"/>
              <w:left w:val="single" w:color="E5E7EB" w:sz="6"/>
              <w:bottom w:val="single" w:color="E5E7EB" w:sz="6"/>
              <w:right w:val="single" w:color="E5E7EB" w:sz="6"/>
            </w:tcBorders>
            <w:shd w:fill="F5F7FA" w:val="clear"/>
            <w:tcMar>
              <w:top w:type="dxa" w:w="80"/>
              <w:left w:type="dxa" w:w="120"/>
              <w:bottom w:type="dxa" w:w="80"/>
              <w:right w:type="dxa" w:w="120"/>
            </w:tcMar>
          </w:tcPr>
          <w:p>
            <w:pPr>
              <w:jc w:val="center"/>
            </w:pPr>
            <w:r>
              <w:rPr>
                <w:rFonts w:ascii="Jost, Calibri, Arial" w:cs="Jost, Calibri, Arial" w:eastAsia="Jost, Calibri, Arial" w:hAnsi="Jost, Calibri, Arial"/>
                <w:b w:val="false"/>
                <w:bCs w:val="false"/>
                <w:color w:val="1A1A2E"/>
                <w:sz w:val="22"/>
                <w:szCs w:val="22"/>
              </w:rPr>
              <w:t xml:space="preserve">340</w:t>
            </w:r>
          </w:p>
        </w:tc>
        <w:tc>
          <w:tcPr>
            <w:tcW w:type="dxa" w:w="3120"/>
            <w:tcBorders>
              <w:top w:val="single" w:color="E5E7EB" w:sz="6"/>
              <w:left w:val="single" w:color="E5E7EB" w:sz="6"/>
              <w:bottom w:val="single" w:color="E5E7EB" w:sz="6"/>
              <w:right w:val="single" w:color="E5E7EB" w:sz="6"/>
            </w:tcBorders>
            <w:shd w:fill="F5F7FA" w:val="clear"/>
            <w:tcMar>
              <w:top w:type="dxa" w:w="80"/>
              <w:left w:type="dxa" w:w="120"/>
              <w:bottom w:type="dxa" w:w="80"/>
              <w:right w:type="dxa" w:w="120"/>
            </w:tcMar>
          </w:tcPr>
          <w:p>
            <w:pPr>
              <w:jc w:val="center"/>
            </w:pPr>
            <w:r>
              <w:rPr>
                <w:rFonts w:ascii="Jost, Calibri, Arial" w:cs="Jost, Calibri, Arial" w:eastAsia="Jost, Calibri, Arial" w:hAnsi="Jost, Calibri, Arial"/>
                <w:b w:val="false"/>
                <w:bCs w:val="false"/>
                <w:color w:val="1A1A2E"/>
                <w:sz w:val="22"/>
                <w:szCs w:val="22"/>
              </w:rPr>
              <w:t xml:space="preserve">72</w:t>
            </w:r>
          </w:p>
        </w:tc>
      </w:tr>
      <w:tr>
        <w:tc>
          <w:tcPr>
            <w:tcW w:type="dxa" w:w="3120"/>
            <w:tcBorders>
              <w:top w:val="single" w:color="E5E7EB" w:sz="6"/>
              <w:left w:val="single" w:color="E5E7EB" w:sz="6"/>
              <w:bottom w:val="single" w:color="E5E7EB" w:sz="6"/>
              <w:right w:val="single" w:color="E5E7EB" w:sz="6"/>
            </w:tcBorders>
            <w:shd w:fill="F5F7FA" w:val="clear"/>
            <w:tcMar>
              <w:top w:type="dxa" w:w="80"/>
              <w:left w:type="dxa" w:w="120"/>
              <w:bottom w:type="dxa" w:w="80"/>
              <w:right w:type="dxa" w:w="120"/>
            </w:tcMar>
          </w:tcPr>
          <w:p>
            <w:pPr>
              <w:jc w:val="center"/>
            </w:pPr>
            <w:r>
              <w:rPr>
                <w:rFonts w:ascii="Jost, Calibri, Arial" w:cs="Jost, Calibri, Arial" w:eastAsia="Jost, Calibri, Arial" w:hAnsi="Jost, Calibri, Arial"/>
                <w:b w:val="false"/>
                <w:bCs w:val="false"/>
                <w:color w:val="1A1A2E"/>
                <w:sz w:val="22"/>
                <w:szCs w:val="22"/>
              </w:rPr>
              <w:t xml:space="preserve">↑ 18% YoY</w:t>
            </w:r>
          </w:p>
        </w:tc>
        <w:tc>
          <w:tcPr>
            <w:tcW w:type="dxa" w:w="3120"/>
            <w:tcBorders>
              <w:top w:val="single" w:color="E5E7EB" w:sz="6"/>
              <w:left w:val="single" w:color="E5E7EB" w:sz="6"/>
              <w:bottom w:val="single" w:color="E5E7EB" w:sz="6"/>
              <w:right w:val="single" w:color="E5E7EB" w:sz="6"/>
            </w:tcBorders>
            <w:shd w:fill="F5F7FA" w:val="clear"/>
            <w:tcMar>
              <w:top w:type="dxa" w:w="80"/>
              <w:left w:type="dxa" w:w="120"/>
              <w:bottom w:type="dxa" w:w="80"/>
              <w:right w:type="dxa" w:w="120"/>
            </w:tcMar>
          </w:tcPr>
          <w:p>
            <w:pPr>
              <w:jc w:val="center"/>
            </w:pPr>
            <w:r>
              <w:rPr>
                <w:rFonts w:ascii="Jost, Calibri, Arial" w:cs="Jost, Calibri, Arial" w:eastAsia="Jost, Calibri, Arial" w:hAnsi="Jost, Calibri, Arial"/>
                <w:b w:val="false"/>
                <w:bCs w:val="false"/>
                <w:color w:val="1A1A2E"/>
                <w:sz w:val="22"/>
                <w:szCs w:val="22"/>
              </w:rPr>
              <w:t xml:space="preserve">Strong Growth</w:t>
            </w:r>
          </w:p>
        </w:tc>
        <w:tc>
          <w:tcPr>
            <w:tcW w:type="dxa" w:w="3120"/>
            <w:tcBorders>
              <w:top w:val="single" w:color="E5E7EB" w:sz="6"/>
              <w:left w:val="single" w:color="E5E7EB" w:sz="6"/>
              <w:bottom w:val="single" w:color="E5E7EB" w:sz="6"/>
              <w:right w:val="single" w:color="E5E7EB" w:sz="6"/>
            </w:tcBorders>
            <w:shd w:fill="F5F7FA" w:val="clear"/>
            <w:tcMar>
              <w:top w:type="dxa" w:w="80"/>
              <w:left w:type="dxa" w:w="120"/>
              <w:bottom w:type="dxa" w:w="80"/>
              <w:right w:type="dxa" w:w="120"/>
            </w:tcMar>
          </w:tcPr>
          <w:p>
            <w:pPr>
              <w:jc w:val="center"/>
            </w:pPr>
            <w:r>
              <w:rPr>
                <w:rFonts w:ascii="Jost, Calibri, Arial" w:cs="Jost, Calibri, Arial" w:eastAsia="Jost, Calibri, Arial" w:hAnsi="Jost, Calibri, Arial"/>
                <w:b w:val="false"/>
                <w:bCs w:val="false"/>
                <w:color w:val="1A1A2E"/>
                <w:sz w:val="22"/>
                <w:szCs w:val="22"/>
              </w:rPr>
              <w:t xml:space="preserve">Industry Leading</w:t>
            </w:r>
          </w:p>
        </w:tc>
      </w:tr>
    </w:tbl>
    <w:p>
      <w:pPr>
        <w:spacing w:after="240"/>
      </w:pPr>
    </w:p>
    <w:p>
      <w:pPr>
        <w:pStyle w:val="Heading2"/>
        <w:spacing w:after="180" w:before="180"/>
      </w:pPr>
      <w:r>
        <w:rPr>
          <w:rFonts w:ascii="Jost, Calibri, Arial" w:cs="Jost, Calibri, Arial" w:eastAsia="Jost, Calibri, Arial" w:hAnsi="Jost, Calibri, Arial"/>
          <w:b/>
          <w:bCs/>
          <w:color w:val="0F3765"/>
          <w:sz w:val="36"/>
          <w:szCs w:val="36"/>
        </w:rPr>
        <w:t xml:space="preserve">Q1 Highlights</w:t>
      </w:r>
    </w:p>
    <w:p>
      <w:pPr>
        <w:spacing w:after="120"/>
      </w:pPr>
      <w:r>
        <w:rPr>
          <w:rFonts w:ascii="Jost, Calibri, Arial" w:cs="Jost, Calibri, Arial" w:eastAsia="Jost, Calibri, Arial" w:hAnsi="Jost, Calibri, Arial"/>
          <w:b w:val="false"/>
          <w:bCs w:val="false"/>
          <w:color w:val="1A1A2E"/>
          <w:sz w:val="22"/>
          <w:szCs w:val="22"/>
        </w:rPr>
        <w:t xml:space="preserve">• Revenue growth of 18% year-over-year demonstrates strong market adoption and pricing power</w:t>
      </w:r>
    </w:p>
    <w:p>
      <w:pPr>
        <w:spacing w:after="120"/>
      </w:pPr>
      <w:r>
        <w:rPr>
          <w:rFonts w:ascii="Jost, Calibri, Arial" w:cs="Jost, Calibri, Arial" w:eastAsia="Jost, Calibri, Arial" w:hAnsi="Jost, Calibri, Arial"/>
          <w:b w:val="false"/>
          <w:bCs w:val="false"/>
          <w:color w:val="1A1A2E"/>
          <w:sz w:val="22"/>
          <w:szCs w:val="22"/>
        </w:rPr>
        <w:t xml:space="preserve">• 340 new customer acquisitions reflect expanded sales efforts and product-market fit</w:t>
      </w:r>
    </w:p>
    <w:p>
      <w:pPr>
        <w:spacing w:after="120"/>
      </w:pPr>
      <w:r>
        <w:rPr>
          <w:rFonts w:ascii="Jost, Calibri, Arial" w:cs="Jost, Calibri, Arial" w:eastAsia="Jost, Calibri, Arial" w:hAnsi="Jost, Calibri, Arial"/>
          <w:b w:val="false"/>
          <w:bCs w:val="false"/>
          <w:color w:val="1A1A2E"/>
          <w:sz w:val="22"/>
          <w:szCs w:val="22"/>
        </w:rPr>
        <w:t xml:space="preserve">• Net Promoter Score of 72 indicates exceptional customer satisfaction and retention potential</w:t>
      </w:r>
    </w:p>
    <w:p>
      <w:pPr>
        <w:spacing w:after="240"/>
      </w:pPr>
    </w:p>
    <w:p>
      <w:pPr>
        <w:pBdr>
          <w:bottom w:val="single" w:color="F9824F" w:sz="12"/>
        </w:pBdr>
        <w:spacing w:after="240"/>
      </w:pPr>
    </w:p>
    <w:p>
      <w:pPr>
        <w:pStyle w:val="Heading2"/>
        <w:spacing w:after="180" w:before="180"/>
      </w:pPr>
      <w:r>
        <w:rPr>
          <w:rFonts w:ascii="Jost, Calibri, Arial" w:cs="Jost, Calibri, Arial" w:eastAsia="Jost, Calibri, Arial" w:hAnsi="Jost, Calibri, Arial"/>
          <w:b/>
          <w:bCs/>
          <w:color w:val="0F3765"/>
          <w:sz w:val="36"/>
          <w:szCs w:val="36"/>
        </w:rPr>
        <w:t xml:space="preserve">Performance Analysis</w:t>
      </w:r>
    </w:p>
    <w:p>
      <w:pPr>
        <w:spacing w:after="120"/>
      </w:pPr>
      <w:r>
        <w:rPr>
          <w:rFonts w:ascii="Jost, Calibri, Arial" w:cs="Jost, Calibri, Arial" w:eastAsia="Jost, Calibri, Arial" w:hAnsi="Jost, Calibri, Arial"/>
          <w:b w:val="false"/>
          <w:bCs w:val="false"/>
          <w:color w:val="1A1A2E"/>
          <w:sz w:val="22"/>
          <w:szCs w:val="22"/>
        </w:rPr>
        <w:t xml:space="preserve">Our Q1 performance exceeded expectations across all key metrics. The 18% revenue growth showcases customer confidence in our automation platform. The addition of 340 new customers demonstrates successful go-to-market execution and strong demand signals from the market.</w:t>
      </w:r>
    </w:p>
    <w:p>
      <w:pPr>
        <w:spacing w:after="120"/>
      </w:pPr>
      <w:r>
        <w:rPr>
          <w:rFonts w:ascii="Jost, Calibri, Arial" w:cs="Jost, Calibri, Arial" w:eastAsia="Jost, Calibri, Arial" w:hAnsi="Jost, Calibri, Arial"/>
          <w:b w:val="false"/>
          <w:bCs w:val="false"/>
          <w:color w:val="1A1A2E"/>
          <w:sz w:val="22"/>
          <w:szCs w:val="22"/>
        </w:rPr>
        <w:t xml:space="preserve">An NPS of 72 places us among industry leaders in customer satisfaction, reflecting our commitment to product excellence and customer success. This metric directly correlates with reduced churn and increased lifetime value.</w:t>
      </w:r>
    </w:p>
    <w:p>
      <w:pPr>
        <w:spacing w:after="240"/>
      </w:pPr>
    </w:p>
    <w:p>
      <w:pPr>
        <w:pStyle w:val="Heading2"/>
        <w:spacing w:after="180" w:before="180"/>
      </w:pPr>
      <w:r>
        <w:rPr>
          <w:rFonts w:ascii="Jost, Calibri, Arial" w:cs="Jost, Calibri, Arial" w:eastAsia="Jost, Calibri, Arial" w:hAnsi="Jost, Calibri, Arial"/>
          <w:b/>
          <w:bCs/>
          <w:color w:val="0F3765"/>
          <w:sz w:val="36"/>
          <w:szCs w:val="36"/>
        </w:rPr>
        <w:t xml:space="preserve">Strategic Priorities</w:t>
      </w:r>
    </w:p>
    <w:p>
      <w:pPr>
        <w:spacing w:after="120"/>
      </w:pPr>
      <w:r>
        <w:rPr>
          <w:rFonts w:ascii="Jost, Calibri, Arial" w:cs="Jost, Calibri, Arial" w:eastAsia="Jost, Calibri, Arial" w:hAnsi="Jost, Calibri, Arial"/>
          <w:b w:val="false"/>
          <w:bCs w:val="false"/>
          <w:color w:val="1A1A2E"/>
          <w:sz w:val="22"/>
          <w:szCs w:val="22"/>
        </w:rPr>
        <w:t xml:space="preserve">• Scale customer acquisition while maintaining unit economics</w:t>
      </w:r>
    </w:p>
    <w:p>
      <w:pPr>
        <w:spacing w:after="120"/>
      </w:pPr>
      <w:r>
        <w:rPr>
          <w:rFonts w:ascii="Jost, Calibri, Arial" w:cs="Jost, Calibri, Arial" w:eastAsia="Jost, Calibri, Arial" w:hAnsi="Jost, Calibri, Arial"/>
          <w:b w:val="false"/>
          <w:bCs w:val="false"/>
          <w:color w:val="1A1A2E"/>
          <w:sz w:val="22"/>
          <w:szCs w:val="22"/>
        </w:rPr>
        <w:t xml:space="preserve">• Invest in product enhancements to sustain high NPS scores</w:t>
      </w:r>
    </w:p>
    <w:p>
      <w:pPr>
        <w:spacing w:after="120"/>
      </w:pPr>
      <w:r>
        <w:rPr>
          <w:rFonts w:ascii="Jost, Calibri, Arial" w:cs="Jost, Calibri, Arial" w:eastAsia="Jost, Calibri, Arial" w:hAnsi="Jost, Calibri, Arial"/>
          <w:b w:val="false"/>
          <w:bCs w:val="false"/>
          <w:color w:val="1A1A2E"/>
          <w:sz w:val="22"/>
          <w:szCs w:val="22"/>
        </w:rPr>
        <w:t xml:space="preserve">• Expand enterprise segment penetration in key verticals</w:t>
      </w:r>
    </w:p>
    <w:p>
      <w:pPr>
        <w:spacing w:after="600"/>
      </w:pPr>
    </w:p>
    <w:p>
      <w:pPr>
        <w:pBdr>
          <w:top w:val="single" w:color="E5E7EB" w:sz="6"/>
        </w:pBdr>
        <w:jc w:val="center"/>
      </w:pPr>
      <w:r>
        <w:rPr>
          <w:rFonts w:ascii="Jost, Calibri, Arial" w:cs="Jost, Calibri, Arial" w:eastAsia="Jost, Calibri, Arial" w:hAnsi="Jost, Calibri, Arial"/>
          <w:b w:val="false"/>
          <w:bCs w:val="false"/>
          <w:color w:val="6B7280"/>
          <w:sz w:val="20"/>
          <w:szCs w:val="20"/>
        </w:rPr>
        <w:t xml:space="preserve">For questions regarding Q1 results, contact the Finance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2026-03-21T17:15:50.712Z</dcterms:created>
  <dcterms:modified xsi:type="dcterms:W3CDTF">2026-03-21T17:15:50.712Z</dcterms:modified>
</cp:coreProperties>
</file>

<file path=docProps/custom.xml><?xml version="1.0" encoding="utf-8"?>
<Properties xmlns="http://schemas.openxmlformats.org/officeDocument/2006/custom-properties" xmlns:vt="http://schemas.openxmlformats.org/officeDocument/2006/docPropsVTypes"/>
</file>