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2547"/>
          <w:sz w:val="48"/>
          <w:szCs w:val="48"/>
        </w:rPr>
        <w:t xml:space="preserve">Envoiso CRM/ERP Platform</w:t>
      </w:r>
    </w:p>
    <w:p>
      <w:pPr>
        <w:spacing w:after="40"/>
      </w:pPr>
      <w:r>
        <w:rPr>
          <w:color w:val="1A4D8F"/>
          <w:sz w:val="28"/>
          <w:szCs w:val="28"/>
        </w:rPr>
        <w:t xml:space="preserve">System Architecture &amp; Developer Reference</w:t>
      </w:r>
    </w:p>
    <w:p>
      <w:pPr>
        <w:spacing w:after="240"/>
      </w:pPr>
      <w:r>
        <w:rPr>
          <w:i/>
          <w:iCs/>
          <w:color w:val="666666"/>
          <w:sz w:val="20"/>
          <w:szCs w:val="20"/>
        </w:rPr>
        <w:t xml:space="preserve">Version 2.0   |   23 June 2026   |   CONFIDENTIAL</w:t>
      </w:r>
    </w:p>
    <w:p>
      <w:pPr>
        <w:pBdr>
          <w:bottom w:val="single" w:color="1A4D8F" w:sz="6" w:space="1"/>
        </w:pBdr>
        <w:spacing w:after="240"/>
      </w:pPr>
      <w:r>
        <w:rPr>
          <w:color w:val="888888"/>
          <w:sz w:val="18"/>
          <w:szCs w:val="18"/>
        </w:rPr>
        <w:t xml:space="preserve">Operated by AutomateXion Trading and Services  ·  Muscat, Oman</w:t>
      </w:r>
    </w:p>
    <w:p>
      <w:pPr>
        <w:pStyle w:val="Heading1"/>
      </w:pPr>
      <w:r>
        <w:t xml:space="preserve">1. System Overview</w:t>
      </w:r>
    </w:p>
    <w:p>
      <w:pPr>
        <w:spacing w:after="120"/>
      </w:pPr>
      <w:r>
        <w:t xml:space="preserve">Envoiso is a multi-tenant SaaS CRM/ERP platform built for Oman/GCC businesses. It covers Sales, Finance, Inventory, Warehouse, Purchasing, CRM, Project Management, Fixed Assets, Recurring Expenses, E-Invoicing (Fawtara/OTA compliant), and a full opening-balance migration path. The platform is operated by AutomateXion Trading and Services and is being positioned for GCC government and enterprise deployment (the embedded “ISO” in the name signals the standards-alignment focus).</w:t>
      </w:r>
    </w:p>
    <w:p>
      <w:pPr>
        <w:spacing w:after="120"/>
      </w:pPr>
      <w:r>
        <w:t xml:space="preserve">The accounting core enforces double-entry integrity end-to-end: every business document posts a balanced journal, sub-ledgers roll up to fixed GL control accounts, and a pre-launch Financial Integrity Audit (19 June 2026) confirmed the posting engine is sound.</w:t>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Layer</w:t>
            </w:r>
          </w:p>
        </w:tc>
        <w:tc>
          <w:tcPr>
            <w:tcW w:type="dxa" w:w="29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Technology</w:t>
            </w:r>
          </w:p>
        </w:tc>
        <w:tc>
          <w:tcPr>
            <w:tcW w:type="dxa" w:w="386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Frontend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React 18 + TypeScript + Vite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Ant Design UI, React Router v6</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Sales/Finance/Inventory API</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NestJS (Node.js)</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sales-service — flat module (sales.service.ts)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API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NestJS (Node.js)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crm-core — auth, users, contacts, masters, tenants (modular)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PM API</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NestJS (Node.js)</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pm-service — project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Database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PostgreSQL 18.4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Single shared DB: crm_core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Cache</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Redis / Valkey 8</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Sessions, token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 Storage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MongoDB Atlas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Documents, attachments, audit logging</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Scheduling</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@nestjs/schedule</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Daily cron — recurring expenses engine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Containerization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Docker + Docker Compose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 dev; Render.com (Frankfurt) for production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Reverse Proxy</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Nginx (in frontend container)</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Routes API calls by path prefix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Authentication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JWT (access + refresh)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Per-route guards; localStorage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AI (parked)</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Anthropic Messages API</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claude-haiku-4-5 — invoice extraction (awaiting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E-Invoicing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UBL 2.1 / Peppol BIS 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OTA Fawtara compliance (Aug 2026 deadline)</w:t>
            </w:r>
          </w:p>
        </w:tc>
      </w:tr>
    </w:tbl>
    <w:p>
      <w:pPr>
        <w:pStyle w:val="Heading1"/>
      </w:pPr>
      <w:r>
        <w:t xml:space="preserve">3. Deployment Architecture</w:t>
      </w:r>
    </w:p>
    <w:p>
      <w:pPr>
        <w:pStyle w:val="Heading2"/>
      </w:pPr>
      <w:r>
        <w:t xml:space="preserve">3.1 Production (Render.com — Frankfurt)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Service</w:t>
            </w:r>
          </w:p>
        </w:tc>
        <w:tc>
          <w:tcPr>
            <w:tcW w:type="dxa" w:w="436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Render URL</w:t>
            </w:r>
          </w:p>
        </w:tc>
        <w:tc>
          <w:tcPr>
            <w:tcW w:type="dxa" w:w="16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Port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Frontend + Nginx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automatexion-crm-frontend.onrender.com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Sales/Finance/Inventory API</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automatexion-crm-sales.onrender.com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3002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crm-platform-enwv.onrender.com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3000</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PM API</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automatexion-crm-pm.onrender.com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3001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PostgreSQL 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dpg-…frankfurt-postgres.render.com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5432</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Redis/Valkey 8</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automatexion-crm-redis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6379</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MongoDB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MongoDB Atlas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27017</w:t>
            </w:r>
          </w:p>
        </w:tc>
      </w:tr>
    </w:tbl>
    <w:p>
      <w:pPr>
        <w:spacing w:after="120"/>
      </w:pPr>
      <w:r>
        <w:rPr>
          <w:i/>
          <w:iCs/>
          <w:sz w:val="18"/>
          <w:szCs w:val="18"/>
        </w:rPr>
        <w:t xml:space="preserve">Render auto-deploys each service on push to main (allow ~3–5 min; crm-core / new-dependency deploys take longer).</w:t>
      </w:r>
    </w:p>
    <w:p>
      <w:pPr>
        <w:spacing w:after="120"/>
      </w:pPr>
      <w:r>
        <w:rPr>
          <w:sz w:val="18"/>
          <w:szCs w:val="18"/>
        </w:rPr>
        <w:t xml:space="preserve">Free-tier note: free instances spin down after ~15 min idle and pay a ~46s cold-start on the next request (not a bug). Upgrade crm-core + demo-facing services to a paid Starter instance before any customer demo, or warm them beforehand.</w:t>
      </w:r>
    </w:p>
    <w:p>
      <w:pPr>
        <w:pStyle w:val="Heading2"/>
      </w:pPr>
      <w:r>
        <w:t xml:space="preserve">3.2 Nginx Routing (Frontend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Path Prefix</w:t>
            </w:r>
          </w:p>
        </w:tc>
        <w:tc>
          <w:tcPr>
            <w:tcW w:type="dxa" w:w="436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Proxied To</w:t>
            </w:r>
          </w:p>
        </w:tc>
        <w:tc>
          <w:tcPr>
            <w:tcW w:type="dxa" w:w="28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Static React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 fallback to index.html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/api/</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Core API /api/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auth, users, contacts, masters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/sales-api/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Sales API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prefix stripped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/pm-api/</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PM API /</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prefix stripped</w:t>
            </w:r>
          </w:p>
        </w:tc>
      </w:tr>
    </w:tbl>
    <w:p>
      <w:pPr>
        <w:pStyle w:val="Heading1"/>
      </w:pPr>
      <w:r>
        <w:t xml:space="preserve">4. Codebase Structure</w:t>
      </w:r>
    </w:p>
    <w:p>
      <w:pPr>
        <w:spacing w:after="120"/>
      </w:pPr>
      <w:r>
        <w:rPr>
          <w:b/>
          <w:bCs/>
        </w:rPr>
        <w:t xml:space="preserve">GitHub: github.com/AutomateXion/crm-platform.git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Directory</w:t>
            </w:r>
          </w:p>
        </w:tc>
        <w:tc>
          <w:tcPr>
            <w:tcW w:type="dxa" w:w="676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crm-frontend/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React/TS frontend. Entry: src/App.tsx. Services: src/services/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sales-service/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NestJS — sales, finance, inventory, warehouse, purchase, recurring expenses. Flat: sales.entities.ts, sales.service.ts, sales.controller.ts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crm-core/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NestJS — auth, users, tenants, contacts/accounts, leads, opportunities, masters, permissions. Modular: src/&lt;module&gt;/&lt;module&gt;.controller.ts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pm-service/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NestJS — project management. Flat: pm.entities.ts, projects/pm.controller.ts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infrastructure/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Docker, Nginx configs, SQL init scripts</w:t>
            </w:r>
          </w:p>
        </w:tc>
      </w:tr>
    </w:tbl>
    <w:p>
      <w:pPr>
        <w:pStyle w:val="Heading1"/>
      </w:pPr>
      <w:r>
        <w:t xml:space="preserve">5. Frontend API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File</w:t>
            </w:r>
          </w:p>
        </w:tc>
        <w:tc>
          <w:tcPr>
            <w:tcW w:type="dxa" w:w="17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Base URL</w:t>
            </w:r>
          </w:p>
        </w:tc>
        <w:tc>
          <w:tcPr>
            <w:tcW w:type="dxa" w:w="536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Key Exports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services/api.ts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/api/v1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authApi (incl. forgotPassword, resetPassword), usersApi (incl. unlock), permissionsApi, mastersApi, tenantsApi, documentConfigApi, auditApi</w:t>
            </w:r>
          </w:p>
        </w:tc>
      </w:tr>
      <w:tr>
        <w:tc>
          <w:tcPr>
            <w:tcW w:type="dxa" w:w="2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services/salesApi.ts</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/sales-api</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productsApi, stockApi, invoicesApi, receiptsApi, suppliersApi, purchaseOrdersApi, grnsApi, purchaseInvoicesApi, journalVouchersApi, warehousesApi, warehouseLocationsApi, bankAccountsApi, recurringApi + default salesApi</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services/pmApi.ts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/pm-api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PM project APIs</w:t>
            </w:r>
          </w:p>
        </w:tc>
      </w:tr>
    </w:tbl>
    <w:p>
      <w:pPr>
        <w:pStyle w:val="Heading1"/>
      </w:pPr>
      <w:r>
        <w:t xml:space="preserve">6. Database (PostgreSQL)</w:t>
      </w:r>
    </w:p>
    <w:p>
      <w:pPr>
        <w:pStyle w:val="Heading2"/>
      </w:pPr>
      <w:r>
        <w:t xml:space="preserve">6.1 Key Facts</w:t>
      </w:r>
    </w:p>
    <w:p>
      <w:pPr>
        <w:pStyle w:val="ListParagraph"/>
        <w:numPr>
          <w:ilvl w:val="0"/>
          <w:numId w:val="2"/>
        </w:numPr>
        <w:spacing w:after="60"/>
      </w:pPr>
      <w:r>
        <w:t xml:space="preserve">Single database crm_core; multi-tenant — every table carries tenant_id and every query MUST filter on it.</w:t>
      </w:r>
    </w:p>
    <w:p>
      <w:pPr>
        <w:pStyle w:val="ListParagraph"/>
        <w:numPr>
          <w:ilvl w:val="0"/>
          <w:numId w:val="2"/>
        </w:numPr>
        <w:spacing w:after="60"/>
      </w:pPr>
      <w:r>
        <w:t xml:space="preserve">Type boundary: tenant_id is UUID in core tables (accounts, contacts, warehouses, warehouse_locations) but VARCHAR in sales-service tables (invoices, products, stock_movements). Cast with ::text when joining across the boundary.</w:t>
      </w:r>
    </w:p>
    <w:p>
      <w:pPr>
        <w:pStyle w:val="ListParagraph"/>
        <w:numPr>
          <w:ilvl w:val="0"/>
          <w:numId w:val="2"/>
        </w:numPr>
        <w:spacing w:after="60"/>
      </w:pPr>
      <w:r>
        <w:t xml:space="preserve">product_id is UUID in products but VARCHAR in stock_movements — join with products.product_id::text = stock_movements.product_id.</w:t>
      </w:r>
    </w:p>
    <w:p>
      <w:pPr>
        <w:pStyle w:val="ListParagraph"/>
        <w:numPr>
          <w:ilvl w:val="0"/>
          <w:numId w:val="2"/>
        </w:numPr>
        <w:spacing w:after="60"/>
      </w:pPr>
      <w:r>
        <w:t xml:space="preserve">No migration framework — raw SQL applied manually to BOTH local and Render DBs.</w:t>
      </w:r>
    </w:p>
    <w:p>
      <w:pPr>
        <w:pStyle w:val="ListParagraph"/>
        <w:numPr>
          <w:ilvl w:val="0"/>
          <w:numId w:val="2"/>
        </w:numPr>
        <w:spacing w:after="60"/>
      </w:pPr>
      <w:r>
        <w:t xml:space="preserve">Fixed control accounts: ALL customers roll up to AR 1130, ALL suppliers to AP 2110. Customers/suppliers are name/id-keyed sub-ledgers; accounts.account_code is unused (not a COA link).</w:t>
      </w:r>
    </w:p>
    <w:p>
      <w:pPr>
        <w:pStyle w:val="Heading2"/>
      </w:pPr>
      <w:r>
        <w:t xml:space="preserve">6.2 Table Inventory (85 tables)</w:t>
      </w:r>
    </w:p>
    <w:p>
      <w:pPr>
        <w:spacing w:after="120"/>
      </w:pPr>
      <w:r>
        <w:rPr>
          <w:sz w:val="18"/>
          <w:szCs w:val="18"/>
        </w:rPr>
        <w:t xml:space="preserve">The data model spans 85 tables across nine domains. Tables added since v1.1 are highlighted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Domain</w:t>
            </w:r>
          </w:p>
        </w:tc>
        <w:tc>
          <w:tcPr>
            <w:tcW w:type="dxa" w:w="696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Representative 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 Auth (crm-core)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tenants, users, user_groups, user_sessions, permissions, modules, sub_modules, pages, fields, master_categories, master_values, document_configs, plan_modules*, password_reset_tokens*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CRM</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accounts, contacts, leads, opportunities, opportunity_items, customer_visits, activities, suppliers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Sales / Finance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quotations, delivery_notes, sales_invoices, receipts, sales_returns, exchange_rates, chart_of_accounts, journal_vouchers, journal_voucher_lines, sales_targets, einvoice_settings/certificates/submissions, recurring_expenses*, recurring_expense_log*, template_chart_of_accounts*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Purchase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purchase_orders, purchase_order_items, goods_receipt_notes, purchase_invoices, payment_vouchers, purchase_returns, po_asset_units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Inventory / Warehouse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products, stock_movements, stock_adjustments, stock_transfers, product_warehouse_stock, stock_cost_layers, warehouses, warehouse_locations, consumable_stock, consumable_transactions, document_signatures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Fixed Assets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fixed_assets, asset_depreciation, asset_maintenance, asset_transfers, asset_brands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Banking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bank_accounts, cheque_books, cheque_leaves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Project Management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pm_projects, pm_tasks, pm_milestones, pm_stages, pm_risks, pm_meetings, pm_resources, pm_budget_entries, pm_change_requests, pm_task_comments, pm_task_documents, pm_feasibility</w:t>
            </w:r>
          </w:p>
        </w:tc>
      </w:tr>
    </w:tbl>
    <w:p>
      <w:pPr>
        <w:spacing w:after="120"/>
      </w:pPr>
      <w:r>
        <w:rPr>
          <w:i/>
          <w:iCs/>
          <w:sz w:val="17"/>
          <w:szCs w:val="17"/>
        </w:rPr>
        <w:t xml:space="preserve">* = added since Architecture v1.1 (recurring expenses engine, self-service password reset, plan-module mapping, COA template).</w:t>
      </w:r>
    </w:p>
    <w:p>
      <w:pPr>
        <w:pStyle w:val="Heading1"/>
      </w:pPr>
      <w:r>
        <w:t xml:space="preserve">7. Key Feature Subsystems</w:t>
      </w:r>
    </w:p>
    <w:p>
      <w:pPr>
        <w:pStyle w:val="Heading2"/>
      </w:pPr>
      <w:r>
        <w:t xml:space="preserve">7.1 Opening-Balance Migration</w:t>
      </w:r>
    </w:p>
    <w:p>
      <w:pPr>
        <w:spacing w:after="120"/>
      </w:pPr>
      <w:r>
        <w:t xml:space="preserve">Loads a tenant's go-live balances. AR/AP loaders create real, selectable master records (findOrCreateCustomer / findOrCreateSupplier — match by name within tenant, create with rich fields, auto supplier code SUP-NNNN). All AR posts to control 1130, all AP to control 2110, with the contra to 3900 Opening Balance Equity (OBE). GL and Stock rich-field loaders were deliberately not built (the cost layers are already correct; touching the shared posting core carries risk for marginal value).</w:t>
      </w:r>
    </w:p>
    <w:p>
      <w:pPr>
        <w:pStyle w:val="Heading2"/>
      </w:pPr>
      <w:r>
        <w:t xml:space="preserve">7.2 Recurring Expenses</w:t>
      </w:r>
    </w:p>
    <w:p>
      <w:pPr>
        <w:spacing w:after="120"/>
      </w:pPr>
      <w:r>
        <w:t xml:space="preserve">Schedules (recurring_expenses) generate either a JOURNAL (Dr expense / Cr credit account, +VAT 1160) or a draft BILL on a frequency. The engine generateDueRecurringItems(tenantId?) runs per-tenant (manual button) or across all tenants (daily @Cron at 02:00). Idempotency is guaranteed by UNIQUE(recurring_id, period_date) on recurring_expense_log claimed via INSERT … ON CONFLICT DO NOTHING; missed periods catch up; failed periods retry. Every write is tenant-scoped; the cron threads each schedule's own tenant_id through all writes — no cross-tenant leak.</w:t>
      </w:r>
    </w:p>
    <w:p>
      <w:pPr>
        <w:pStyle w:val="Heading2"/>
      </w:pPr>
      <w:r>
        <w:t xml:space="preserve">7.3 Reorder → Purchase Order</w:t>
      </w:r>
    </w:p>
    <w:p>
      <w:pPr>
        <w:spacing w:after="120"/>
      </w:pPr>
      <w:r>
        <w:t xml:space="preserve">From the Reorder Management report, users select low-stock items and convert them to a draft PO: pick a supplier, set a per-line delivery warehouse (pre-filled from each product's default location, with a “deliver all to” convenience), and edit quantities/prices. The PO header totals are computed and sent explicitly (createPurchaseOrder does not auto-sum). Warehouse is per-line (purchase_order_items.warehouse_location_id) — one PO can deliver to multiple warehouses.</w:t>
      </w:r>
    </w:p>
    <w:p>
      <w:pPr>
        <w:pStyle w:val="Heading2"/>
      </w:pPr>
      <w:r>
        <w:t xml:space="preserve">7.4 Account Recovery</w:t>
      </w:r>
    </w:p>
    <w:p>
      <w:pPr>
        <w:spacing w:after="120"/>
      </w:pPr>
      <w:r>
        <w:t xml:space="preserve">Three recovery paths close the lockout gap (5 failed logins → 30-min lock). Admin unlock (PATCH /users/:id/unlock) clears the lock without a password change; admin reset sets a new password and clears the lock; self-service forgot/reset issues a single-use 96-char token (1-hr expiry, no account enumeration, rate-limited) emailed via the tenant's SMTP, with a reset page that also clears any lockout. See §8.</w:t>
      </w:r>
    </w:p>
    <w:p>
      <w:pPr>
        <w:pStyle w:val="Heading2"/>
      </w:pPr>
      <w:r>
        <w:t xml:space="preserve">7.5 AI Invoice Extraction (parked)</w:t>
      </w:r>
    </w:p>
    <w:p>
      <w:pPr>
        <w:spacing w:after="120"/>
      </w:pPr>
      <w:r>
        <w:t xml:space="preserve">A built-but-parked backend (POST /sales/extract-invoice) calls the Anthropic Messages API (claude-haiku-4-5) to extract a supplier invoice into a purchase-invoice prefill with a confidence score. It awaits an ANTHROPIC_API_KEY and a review UI. Safety boundary: the AI drafts; a human always confirms and posts.</w:t>
      </w:r>
    </w:p>
    <w:p>
      <w:pPr>
        <w:pStyle w:val="Heading1"/>
      </w:pPr>
      <w:r>
        <w:t xml:space="preserve">8. Authentication, Roles &amp; Account Recovery</w:t>
      </w:r>
    </w:p>
    <w:p>
      <w:pPr>
        <w:pStyle w:val="ListParagraph"/>
        <w:numPr>
          <w:ilvl w:val="0"/>
          <w:numId w:val="2"/>
        </w:numPr>
        <w:spacing w:after="60"/>
      </w:pPr>
      <w:r>
        <w:t xml:space="preserve">JWT access + refresh tokens in localStorage; access token sent as Authorization: Bearer &lt;token&gt;.</w:t>
      </w:r>
    </w:p>
    <w:p>
      <w:pPr>
        <w:pStyle w:val="ListParagraph"/>
        <w:numPr>
          <w:ilvl w:val="0"/>
          <w:numId w:val="2"/>
        </w:numPr>
        <w:spacing w:after="60"/>
      </w:pPr>
      <w:r>
        <w:t xml:space="preserve">Per-route guards — there is NO global guard and NO @Public decorator. Protected routes use @UseGuards(JwtAuthGuard); public routes (login, forgot-password, reset-password) omit it and use ThrottlerGuard for rate-limiting.</w:t>
      </w:r>
    </w:p>
    <w:p>
      <w:pPr>
        <w:pStyle w:val="ListParagraph"/>
        <w:numPr>
          <w:ilvl w:val="0"/>
          <w:numId w:val="2"/>
        </w:numPr>
        <w:spacing w:after="60"/>
      </w:pPr>
      <w:r>
        <w:t xml:space="preserve">Roles: SUPER_ADMIN (platform), TENANT_ADMIN (full tenant access), USER (permission-matrix controlled). Role checks read groupCode, not a role field.</w:t>
      </w:r>
    </w:p>
    <w:p>
      <w:pPr>
        <w:pStyle w:val="ListParagraph"/>
        <w:numPr>
          <w:ilvl w:val="0"/>
          <w:numId w:val="2"/>
        </w:numPr>
        <w:spacing w:after="60"/>
      </w:pPr>
      <w:r>
        <w:t xml:space="preserve">Identity is per-tenant: login = tenantCode + email + password; email is unique per tenant, not globally. Cross-tenant flows (forgot-password) require the company code.</w:t>
      </w:r>
    </w:p>
    <w:p>
      <w:pPr>
        <w:pStyle w:val="ListParagraph"/>
        <w:numPr>
          <w:ilvl w:val="0"/>
          <w:numId w:val="2"/>
        </w:numPr>
        <w:spacing w:after="60"/>
      </w:pPr>
      <w:r>
        <w:t xml:space="preserve">Lockout: 5 failed logins → 30-min lock (users.failed_login_count, users.locked_until). Cleared by successful login, admin unlock, admin reset, or self-service token reset.</w:t>
      </w:r>
    </w:p>
    <w:p>
      <w:pPr>
        <w:pStyle w:val="ListParagraph"/>
        <w:numPr>
          <w:ilvl w:val="0"/>
          <w:numId w:val="2"/>
        </w:numPr>
        <w:spacing w:after="60"/>
      </w:pPr>
      <w:r>
        <w:t xml:space="preserve">Password reset tokens (password_reset_tokens): single-use, 1-hr expiry, prior unused tokens invalidated on new issue, no account enumeration (generic success either way).</w:t>
      </w:r>
    </w:p>
    <w:p>
      <w:pPr>
        <w:pStyle w:val="Heading1"/>
      </w:pPr>
      <w:r>
        <w:t xml:space="preserve">9. Development Workflow</w:t>
      </w:r>
    </w:p>
    <w:p>
      <w:pPr>
        <w:pStyle w:val="Heading2"/>
      </w:pPr>
      <w:r>
        <w:t xml:space="preserve">9.1 Build &amp; Deploy</w:t>
      </w:r>
    </w:p>
    <w:p>
      <w:pPr>
        <w:spacing w:after="120"/>
      </w:pPr>
      <w:r>
        <w:rPr>
          <w:sz w:val="18"/>
          <w:szCs w:val="18"/>
        </w:rPr>
        <w:t xml:space="preserve">Frontend: cd crm-frontend &amp;&amp; docker run --rm -v $(pwd):/app -w /app node:20-alpine sh -c "npm run build"  →  git push (Render auto-deploys).</w:t>
      </w:r>
    </w:p>
    <w:p>
      <w:pPr>
        <w:spacing w:after="120"/>
      </w:pPr>
      <w:r>
        <w:rPr>
          <w:sz w:val="18"/>
          <w:szCs w:val="18"/>
        </w:rPr>
        <w:t xml:space="preserve">Backend: docker compose build --progress=plain &lt;sales-service|crm-core|pm-service&gt;  →  git push (Render auto-deploys).</w:t>
      </w:r>
    </w:p>
    <w:p>
      <w:pPr>
        <w:pStyle w:val="Heading2"/>
      </w:pPr>
      <w:r>
        <w:t xml:space="preserve">9.2 Schema Changes</w:t>
      </w:r>
    </w:p>
    <w:p>
      <w:pPr>
        <w:spacing w:after="120"/>
      </w:pPr>
      <w:r>
        <w:rPr>
          <w:sz w:val="18"/>
          <w:szCs w:val="18"/>
        </w:rPr>
        <w:t xml:space="preserve">Run the same raw SQL on BOTH local and Render DBs, add/register the TypeORM entity (sales-service uses synchronize:false — raw SQL for custom tables), then build/commit/push.</w:t>
      </w:r>
    </w:p>
    <w:p>
      <w:pPr>
        <w:spacing w:after="120"/>
      </w:pPr>
      <w:r>
        <w:rPr>
          <w:i/>
          <w:iCs/>
          <w:sz w:val="18"/>
          <w:szCs w:val="18"/>
        </w:rPr>
        <w:t xml:space="preserve">Render DB (external): postgresql://erp_xion:***@dpg-d8icmfu7r5hc73cpguq0-a.frankfurt-postgres.render.com/crm_core  ·  pg_dump must use postgres:18 (server is 18.4).</w:t>
      </w:r>
    </w:p>
    <w:p>
      <w:pPr>
        <w:pStyle w:val="Heading1"/>
      </w:pPr>
      <w:r>
        <w:t xml:space="preserve">10. Known Issues &amp;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Item</w:t>
            </w:r>
          </w:p>
        </w:tc>
        <w:tc>
          <w:tcPr>
            <w:tcW w:type="dxa" w:w="190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Status</w:t>
            </w:r>
          </w:p>
        </w:tc>
        <w:tc>
          <w:tcPr>
            <w:tcW w:type="dxa" w:w="4860"/>
            <w:tcBorders>
              <w:top w:val="single" w:color="CCCCCC" w:sz="1"/>
              <w:left w:val="single" w:color="CCCCCC" w:sz="1"/>
              <w:bottom w:val="single" w:color="CCCCCC" w:sz="1"/>
              <w:right w:val="single" w:color="CCCCCC" w:sz="1"/>
            </w:tcBorders>
            <w:shd w:fill="0B2547" w:val="clear"/>
            <w:tcMar>
              <w:top w:type="dxa" w:w="80"/>
              <w:left w:type="dxa" w:w="120"/>
              <w:bottom w:type="dxa" w:w="80"/>
              <w:right w:type="dxa" w:w="120"/>
            </w:tcMa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Account unlock / password reset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RESOLVED (Jun 2026)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unlock + admin reset + self-service forgot/reset (single-use tokens, no enumeration, rate-limited). Proven end-to-end.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Automatic credit blocking</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RESOLVED (Jun 2026)</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Server-side enforcement on DN/Invoice; auto block/unblock; bulk re-check.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Stock by Location report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RESOLVED (Jun 2026)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Reads product_warehouse_stock ledger; full zone/rack/shelf/bin path.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AI invoice extraction</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PARKED</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Backend built; needs ANTHROPIC_API_KEY + review UI.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Recurring engine defense-in-depth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Backlog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Two internal UPDATEs scope by recurring_id (UUID PK) only; add AND tenant_id.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Recurring FAILED-period retry</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Backlog</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Add max-retries / self-clearing log row on failure.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Render free-tier cold-start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Action item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Upgrade crm-core + demo services to Starter before customer demos.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Trade vs asset payables (2115)</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Backlog</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Route asset purchases to a dedicated payable for clean AP aging.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Duplicate COGS 5001/5100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Cleanup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Standardise on 5001.</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Bank statement upload (Phase 3)</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Not started</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18"/>
                <w:szCs w:val="18"/>
              </w:rPr>
              <w:t xml:space="preserve">CSV/PDF + auto-reconciliation.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Reports: ~15 routes ComingSoon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outstanding-agewise, pdc-report, bank-book, etc.</w:t>
            </w:r>
          </w:p>
        </w:tc>
      </w:tr>
    </w:tbl>
    <w:p>
      <w:pPr>
        <w:pBdr>
          <w:top w:val="single" w:color="1A4D8F" w:sz="6" w:space="1"/>
        </w:pBdr>
        <w:spacing w:before="240"/>
      </w:pPr>
      <w:r>
        <w:rPr>
          <w:color w:val="888888"/>
          <w:sz w:val="16"/>
          <w:szCs w:val="16"/>
        </w:rPr>
        <w:t xml:space="preserve">Envoiso CRM/ERP  ·  Operated by AutomateXion Trading and Services  ·  Muscat, Oman  ·  23 June 2026  ·  CONFIDENTIAL</w:t>
      </w:r>
    </w:p>
    <w:sectPr>
      <w:footerReference w:type="default" r:id="rId7"/>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Envoiso · 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B2547"/>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4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2026-06-24T01:17:14.191Z</dcterms:created>
  <dcterms:modified xsi:type="dcterms:W3CDTF">2026-06-24T01:17:14.192Z</dcterms:modified>
</cp:coreProperties>
</file>

<file path=docProps/custom.xml><?xml version="1.0" encoding="utf-8"?>
<Properties xmlns="http://schemas.openxmlformats.org/officeDocument/2006/custom-properties" xmlns:vt="http://schemas.openxmlformats.org/officeDocument/2006/docPropsVTypes"/>
</file>