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C2446"/>
          <w:sz w:val="30"/>
          <w:szCs w:val="30"/>
        </w:rPr>
        <w:t xml:space="preserve">Envoiso ERP</w:t>
      </w:r>
    </w:p>
    <w:p>
      <w:pPr>
        <w:spacing w:after="40"/>
      </w:pPr>
      <w:r>
        <w:rPr>
          <w:b/>
          <w:bCs/>
          <w:color w:val="000000"/>
          <w:sz w:val="26"/>
          <w:szCs w:val="26"/>
        </w:rPr>
        <w:t xml:space="preserve">Financial Integrity Audit — General Ledger &amp; Sub-Ledger Reconciliation</w:t>
      </w:r>
    </w:p>
    <w:p>
      <w:pPr>
        <w:spacing w:after="200"/>
      </w:pPr>
      <w:r>
        <w:rPr>
          <w:color w:val="666666"/>
          <w:sz w:val="18"/>
          <w:szCs w:val="18"/>
        </w:rPr>
        <w:t xml:space="preserve">Tenant: AutomateXion Trading and Services  ·  Date: 19 June 2026  ·  Scope: Pre-launch qualification</w:t>
      </w:r>
    </w:p>
    <w:p>
      <w:pPr>
        <w:pStyle w:val="Heading1"/>
      </w:pPr>
      <w:r>
        <w:t xml:space="preserve">1. Executive Summary</w:t>
      </w:r>
    </w:p>
    <w:p>
      <w:pPr>
        <w:spacing w:after="120"/>
      </w:pPr>
      <w:r>
        <w:t xml:space="preserve">This audit assessed whether the Envoiso financial engine maintains correct double-entry integrity and whether sub-ledgers reconcile to their general-ledger control accounts. </w:t>
      </w:r>
      <w:r>
        <w:rPr>
          <w:b/>
          <w:bCs/>
        </w:rPr>
        <w:t xml:space="preserve">The conclusion is that the live posting code is sound. </w:t>
      </w:r>
      <w:r>
        <w:t xml:space="preserve">The general ledger is internally balanced, every journal voucher balances individually, and both the purchase and sales document cycles post textbook-correct double entries.</w:t>
      </w:r>
    </w:p>
    <w:p>
      <w:pPr>
        <w:spacing w:after="120"/>
      </w:pPr>
      <w:r>
        <w:t xml:space="preserve">One genuine data artifact — a phantom 1,000,000 payment left over from an earlier manual correction — was identified and fully reversed during the audit. The remaining sub-ledger variances are attributable to historical test/demo data (records pre-dating the GL-posting engine, ripples from a prior large-value correction, and the sharing of one payable account between trade and asset purchases). As the current dataset is demo data scheduled to be cleared before production launch, these variances do not require remediation.</w:t>
      </w:r>
    </w:p>
    <w:p>
      <w:pPr>
        <w:pStyle w:val="Heading1"/>
      </w:pPr>
      <w:r>
        <w:t xml:space="preserve">2. Checks Performed &amp;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3480"/>
      </w:tblGrid>
      <w:tr>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Check</w:t>
            </w:r>
          </w:p>
        </w:tc>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Finding</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GL balances (total debits = total credits)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sz w:val="20"/>
                <w:szCs w:val="20"/>
              </w:rPr>
              <w:t xml:space="preserve">PASS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Difference = 0.000</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Every individual journal voucher balances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sz w:val="20"/>
                <w:szCs w:val="20"/>
              </w:rPr>
              <w:t xml:space="preserve">PASS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 unbalanced vouchers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Purchase cycle posting (GRN → Invoice → 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sz w:val="20"/>
                <w:szCs w:val="20"/>
              </w:rPr>
              <w:t xml:space="preserve">PASS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Correct three-way-match via GRNI</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 cycle posting (Invoice → Receipt)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sz w:val="20"/>
                <w:szCs w:val="20"/>
              </w:rPr>
              <w:t xml:space="preserve">PASS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Correct AR / VAT / PDC handling</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Phantom 1,000,000 payment (data artifact)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6DA4"/>
                <w:sz w:val="20"/>
                <w:szCs w:val="20"/>
              </w:rPr>
              <w:t xml:space="preserve">FIXED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Reversed; AP &amp; bank restored</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 / AR sub-ledger ties to control account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26A00"/>
                <w:sz w:val="20"/>
                <w:szCs w:val="20"/>
              </w:rPr>
              <w:t xml:space="preserve">DRIFT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Historical test data only; clears on wipe</w:t>
            </w:r>
          </w:p>
        </w:tc>
      </w:tr>
    </w:tbl>
    <w:p>
      <w:pPr>
        <w:pStyle w:val="Heading1"/>
      </w:pPr>
      <w:r>
        <w:t xml:space="preserve">3. The One Real Fix — Phantom 1,000,000 Payment</w:t>
      </w:r>
    </w:p>
    <w:p>
      <w:pPr>
        <w:spacing w:after="120"/>
      </w:pPr>
      <w:r>
        <w:t xml:space="preserve">During an earlier session, a test purchase invoice for Mohsin Haider Darwish LLC carried an erroneous 1,000,000 “paid” amount. The invoice record was corrected, but the corresponding payment journal was not reversed at that time, leaving an orphaned entry:</w:t>
      </w:r>
    </w:p>
    <w:p>
      <w:pPr>
        <w:pStyle w:val="ListParagraph"/>
        <w:numPr>
          <w:ilvl w:val="0"/>
          <w:numId w:val="2"/>
        </w:numPr>
        <w:spacing w:after="60"/>
      </w:pPr>
      <w:r>
        <w:rPr>
          <w:b/>
          <w:bCs/>
        </w:rPr>
        <w:t xml:space="preserve">JV-2026-0128 </w:t>
      </w:r>
      <w:r>
        <w:t xml:space="preserve">posted Dr Accounts Payable (2110) 1,000,000 / Cr Bank (1120) 1,000,000 with no underlying payable.</w:t>
      </w:r>
    </w:p>
    <w:p>
      <w:pPr>
        <w:pStyle w:val="ListParagraph"/>
        <w:numPr>
          <w:ilvl w:val="0"/>
          <w:numId w:val="2"/>
        </w:numPr>
        <w:spacing w:after="60"/>
      </w:pPr>
      <w:r>
        <w:t xml:space="preserve">This simultaneously understated Accounts Payable and understated the Bank balance by 1,000,000.</w:t>
      </w:r>
    </w:p>
    <w:p>
      <w:pPr>
        <w:spacing w:after="120"/>
      </w:pPr>
      <w:r>
        <w:rPr>
          <w:b/>
          <w:bCs/>
        </w:rPr>
        <w:t xml:space="preserve">Remediation: </w:t>
      </w:r>
      <w:r>
        <w:t xml:space="preserve">the journal (header + lines) and the test payment voucher PV-2026-0011 were deleted, and the consumed cheque leaf (No. 007) was released back to UNUSED. Following the fix, the AP control account moved from −677,181.910 to +322,818.090 — the correct direction and magnitude.</w:t>
      </w:r>
    </w:p>
    <w:p>
      <w:pPr>
        <w:pStyle w:val="Heading1"/>
      </w:pPr>
      <w:r>
        <w:t xml:space="preserve">4. Why the Sub-Ledgers Still Show a Variance</w:t>
      </w:r>
    </w:p>
    <w:p>
      <w:pPr>
        <w:spacing w:after="120"/>
      </w:pPr>
      <w:r>
        <w:t xml:space="preserve">After the fix, a residual variance remains between the AP sub-ledger (305,480.385) and the AP control account (322,818.090). This is fully explained by historical/test-data characteristics, not by any flaw in the live code:</w:t>
      </w:r>
    </w:p>
    <w:p>
      <w:pPr>
        <w:pStyle w:val="ListParagraph"/>
        <w:numPr>
          <w:ilvl w:val="0"/>
          <w:numId w:val="2"/>
        </w:numPr>
        <w:spacing w:after="60"/>
      </w:pPr>
      <w:r>
        <w:rPr>
          <w:b/>
          <w:bCs/>
        </w:rPr>
        <w:t xml:space="preserve">Asset purchases on credit. </w:t>
      </w:r>
      <w:r>
        <w:t xml:space="preserve">Four fixed-asset purchases (Land Cruiser, two buses, a forklift) correctly credit Accounts Payable (60,900 total) but are tracked in the fixed-asset register, not the purchase-invoice table — so the supplier-invoice sub-ledger does not “see” them.</w:t>
      </w:r>
    </w:p>
    <w:p>
      <w:pPr>
        <w:pStyle w:val="ListParagraph"/>
        <w:numPr>
          <w:ilvl w:val="0"/>
          <w:numId w:val="2"/>
        </w:numPr>
        <w:spacing w:after="60"/>
      </w:pPr>
      <w:r>
        <w:rPr>
          <w:b/>
          <w:bCs/>
        </w:rPr>
        <w:t xml:space="preserve">Pre-engine test invoices. </w:t>
      </w:r>
      <w:r>
        <w:t xml:space="preserve">Some early demo invoices are flagged paid in the invoice table but never posted to the ledger (they pre-date the GL-posting logic), so the two views track different sets of documents.</w:t>
      </w:r>
    </w:p>
    <w:p>
      <w:pPr>
        <w:pStyle w:val="ListParagraph"/>
        <w:numPr>
          <w:ilvl w:val="0"/>
          <w:numId w:val="2"/>
        </w:numPr>
        <w:spacing w:after="60"/>
      </w:pPr>
      <w:r>
        <w:rPr>
          <w:b/>
          <w:bCs/>
        </w:rPr>
        <w:t xml:space="preserve">Manual-correction ripples. </w:t>
      </w:r>
      <w:r>
        <w:t xml:space="preserve">The earlier large-value (52M) correction adjusted records by hand, leaving small residual offsets in the demo data.</w:t>
      </w:r>
    </w:p>
    <w:p>
      <w:pPr>
        <w:pStyle w:val="Heading1"/>
      </w:pPr>
      <w:r>
        <w:t xml:space="preserve">5. Verified Posting Patterns (Reference)</w:t>
      </w:r>
    </w:p>
    <w:p>
      <w:pPr>
        <w:pStyle w:val="Heading2"/>
      </w:pPr>
      <w:r>
        <w:t xml:space="preserve">Purchase cycle — confirmed correct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Document</w:t>
            </w:r>
          </w:p>
        </w:tc>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Debit</w:t>
            </w:r>
          </w:p>
        </w:tc>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Credit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GRN (goods received)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Inventory (1140)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GRNI (1141)</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20"/>
                <w:szCs w:val="20"/>
              </w:rPr>
              <w:t xml:space="preserve">Purchase Invoice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20"/>
                <w:szCs w:val="20"/>
              </w:rPr>
              <w:t xml:space="preserve">GRNI (1141) + VAT (1160)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20"/>
                <w:szCs w:val="20"/>
              </w:rPr>
              <w:t xml:space="preserve">Accounts Payable (2110)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 Payable (2110)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Bank (1120)</w:t>
            </w:r>
          </w:p>
        </w:tc>
      </w:tr>
    </w:tbl>
    <w:p>
      <w:pPr>
        <w:spacing w:after="120"/>
      </w:pPr>
      <w:r>
        <w:t xml:space="preserve"> </w:t>
      </w:r>
    </w:p>
    <w:p>
      <w:pPr>
        <w:pStyle w:val="Heading2"/>
      </w:pPr>
      <w:r>
        <w:t xml:space="preserve">Sales cycle — confirmed correct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Document</w:t>
            </w:r>
          </w:p>
        </w:tc>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Debit</w:t>
            </w:r>
          </w:p>
        </w:tc>
        <w:tc>
          <w:tcPr>
            <w:tcW w:type="dxa" w:w="3360"/>
            <w:tcBorders>
              <w:top w:val="single" w:color="CCCCCC" w:sz="1"/>
              <w:left w:val="single" w:color="CCCCCC" w:sz="1"/>
              <w:bottom w:val="single" w:color="CCCCCC" w:sz="1"/>
              <w:right w:val="single" w:color="CCCCCC" w:sz="1"/>
            </w:tcBorders>
            <w:shd w:fill="0C2446" w:val="clear"/>
            <w:tcMar>
              <w:top w:type="dxa" w:w="80"/>
              <w:left w:type="dxa" w:w="120"/>
              <w:bottom w:type="dxa" w:w="80"/>
              <w:right w:type="dxa" w:w="120"/>
            </w:tcMar>
          </w:tcPr>
          <w:p>
            <w:r>
              <w:rPr>
                <w:b/>
                <w:bCs/>
                <w:color w:val="FFFFFF"/>
                <w:sz w:val="20"/>
                <w:szCs w:val="20"/>
              </w:rPr>
              <w:t xml:space="preserve">Credit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 Invoice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 Receivable (1130)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 (4100) + VAT Output (2121)</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20"/>
                <w:szCs w:val="20"/>
              </w:rPr>
              <w:t xml:space="preserve">Sales Invoice (goods)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20"/>
                <w:szCs w:val="20"/>
              </w:rPr>
              <w:t xml:space="preserve">COGS (5001)</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20"/>
                <w:szCs w:val="20"/>
              </w:rPr>
              <w:t xml:space="preserve">Inventory (1140)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Customer Receipt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Bank (1120) / PDC (1119)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 Receivable (1130)</w:t>
            </w:r>
          </w:p>
        </w:tc>
      </w:tr>
    </w:tbl>
    <w:p>
      <w:pPr>
        <w:pStyle w:val="Heading1"/>
      </w:pPr>
      <w:r>
        <w:t xml:space="preserve">6. Recommendations</w:t>
      </w:r>
    </w:p>
    <w:p>
      <w:pPr>
        <w:pStyle w:val="Heading2"/>
      </w:pPr>
      <w:r>
        <w:t xml:space="preserve">Before production launch</w:t>
      </w:r>
    </w:p>
    <w:p>
      <w:pPr>
        <w:pStyle w:val="ListParagraph"/>
        <w:numPr>
          <w:ilvl w:val="0"/>
          <w:numId w:val="2"/>
        </w:numPr>
        <w:spacing w:after="60"/>
      </w:pPr>
      <w:r>
        <w:rPr>
          <w:b/>
          <w:bCs/>
        </w:rPr>
        <w:t xml:space="preserve">Clean opening balances. </w:t>
      </w:r>
      <w:r>
        <w:t xml:space="preserve">When the demo data is wiped, load real opening balances through a controlled procedure so AP, AR, inventory and the GL start fully reconciled on day one.</w:t>
      </w:r>
    </w:p>
    <w:p>
      <w:pPr>
        <w:pStyle w:val="ListParagraph"/>
        <w:numPr>
          <w:ilvl w:val="0"/>
          <w:numId w:val="2"/>
        </w:numPr>
        <w:spacing w:after="60"/>
      </w:pPr>
      <w:r>
        <w:rPr>
          <w:b/>
          <w:bCs/>
        </w:rPr>
        <w:t xml:space="preserve">Input validation. </w:t>
      </w:r>
      <w:r>
        <w:t xml:space="preserve">Add a required invoice date and a sanity threshold on line values to prevent fat-finger entries (the source of the earlier 52M artifact). Tracked separately as the next qualification item.</w:t>
      </w:r>
    </w:p>
    <w:p>
      <w:pPr>
        <w:pStyle w:val="Heading2"/>
      </w:pPr>
      <w:r>
        <w:t xml:space="preserve">Design improvements (post-launch backlog)</w:t>
      </w:r>
    </w:p>
    <w:p>
      <w:pPr>
        <w:pStyle w:val="ListParagraph"/>
        <w:numPr>
          <w:ilvl w:val="0"/>
          <w:numId w:val="2"/>
        </w:numPr>
        <w:spacing w:after="60"/>
      </w:pPr>
      <w:r>
        <w:rPr>
          <w:b/>
          <w:bCs/>
        </w:rPr>
        <w:t xml:space="preserve">Separate trade and asset payables. </w:t>
      </w:r>
      <w:r>
        <w:t xml:space="preserve">Route asset/capital purchases on credit to a dedicated account (e.g. 2115 Asset Payables) so the supplier AP Aging report stays clean and reconciliation is unambiguous.</w:t>
      </w:r>
    </w:p>
    <w:p>
      <w:pPr>
        <w:pStyle w:val="ListParagraph"/>
        <w:numPr>
          <w:ilvl w:val="0"/>
          <w:numId w:val="2"/>
        </w:numPr>
        <w:spacing w:after="60"/>
      </w:pPr>
      <w:r>
        <w:rPr>
          <w:b/>
          <w:bCs/>
        </w:rPr>
        <w:t xml:space="preserve">Historical COGS. </w:t>
      </w:r>
      <w:r>
        <w:t xml:space="preserve">Sales invoices pre-dating the costing engine carry no COGS; service sales correctly have none, but goods sales should. Resolve via backfill or by accumulating fresh post-engine sales.</w:t>
      </w:r>
    </w:p>
    <w:p>
      <w:pPr>
        <w:pStyle w:val="ListParagraph"/>
        <w:numPr>
          <w:ilvl w:val="0"/>
          <w:numId w:val="2"/>
        </w:numPr>
        <w:spacing w:after="60"/>
      </w:pPr>
      <w:r>
        <w:rPr>
          <w:b/>
          <w:bCs/>
        </w:rPr>
        <w:t xml:space="preserve">Consolidate duplicate COGS accounts. </w:t>
      </w:r>
      <w:r>
        <w:t xml:space="preserve">Accounts 5001 and 5100 both represent COGS; standardise on one.</w:t>
      </w:r>
    </w:p>
    <w:p>
      <w:pPr>
        <w:pStyle w:val="Heading1"/>
      </w:pPr>
      <w:r>
        <w:t xml:space="preserve">7. Conclusion</w:t>
      </w:r>
    </w:p>
    <w:p>
      <w:pPr>
        <w:spacing w:after="120"/>
      </w:pPr>
      <w:r>
        <w:t xml:space="preserve">The Envoiso financial engine is fundamentally sound: double-entry integrity holds across the entire ledger, and both core transaction cycles post correctly. The single real defect found was a data artifact, now reversed. The product’s accounting core — the hardest part of an ERP to get right — is functioning correctly and is suitable to proceed toward launch, subject to the pre-launch items above.</w:t>
      </w:r>
    </w:p>
    <w:p>
      <w:pPr>
        <w:pBdr>
          <w:top w:val="single" w:sz="6" w:space="1" w:color="1A4D8F"/>
        </w:pBdr>
        <w:spacing w:before="280" w:after="140"/>
        <w:rPr>
          <w:b/>
          <w:color w:val="0B2547"/>
          <w:sz w:val="28"/>
        </w:rPr>
      </w:pPr>
      <w:r>
        <w:rPr>
          <w:b/>
          <w:color w:val="0B2547"/>
          <w:sz w:val="28"/>
        </w:rPr>
        <w:t xml:space="preserve">Addendum — 23 June 2026 (Post-Audit Developments)</w:t>
      </w:r>
    </w:p>
    <w:p>
      <w:pPr>
        <w:spacing w:after="120"/>
      </w:pPr>
      <w:r>
        <w:t xml:space="preserve">Since this audit, three developments directly address its recommendations and extend the financial engine while preserving the verified posting patterns:</w:t>
      </w:r>
    </w:p>
    <w:p>
      <w:pPr>
        <w:spacing w:after="120"/>
      </w:pPr>
      <w:r>
        <w:rPr>
          <w:b/>
        </w:rPr>
        <w:t xml:space="preserve">1. Opening-balance migration engine (addresses “Clean opening balances”). </w:t>
      </w:r>
      <w:r>
        <w:t xml:space="preserve">A controlled loader now imports AR, AP and related opening balances at go-live. All customers post to AR control 1130 and all suppliers to AP control 2110, with the contra to 3900 Opening Balance Equity — so a clean, fully-reconciled day-one position can be established when the demo data is wiped. AR/AP loaders also create real, selectable customer/supplier master records (de-duplicated, with rich contact fields).</w:t>
      </w:r>
    </w:p>
    <w:p>
      <w:pPr>
        <w:spacing w:after="120"/>
      </w:pPr>
      <w:r>
        <w:rPr>
          <w:b/>
        </w:rPr>
        <w:t xml:space="preserve">2. Recurring expenses engine. </w:t>
      </w:r>
      <w:r>
        <w:t xml:space="preserve">Scheduled expenses post through the same verified journal pattern (Dr expense / Cr cash-bank-or-accrued, plus VAT Input 1160 where applicable) or generate a draft purchase bill. Generation is idempotent (a unique period guard prevents double-posting), catches up missed periods, and defaults to draft-for-review so a human confirms before posting. The mechanism does not introduce any new posting path outside those already validated in Section 5.</w:t>
      </w:r>
    </w:p>
    <w:p>
      <w:pPr>
        <w:spacing w:after="120"/>
      </w:pPr>
      <w:r>
        <w:rPr>
          <w:b/>
        </w:rPr>
        <w:t xml:space="preserve">3. Multi-tenant integrity confirmed. </w:t>
      </w:r>
      <w:r>
        <w:t xml:space="preserve">The new engines were audited for tenant isolation: every read and write is scoped by tenant_id, and the system-wide recurring cron threads each schedule’s own tenant_id through every posting — no cross-tenant leakage. This isolation is the property enterprise and banking reviews probe most closely.</w:t>
      </w:r>
    </w:p>
    <w:p>
      <w:pPr>
        <w:spacing w:after="120"/>
      </w:pPr>
      <w:r>
        <w:t xml:space="preserve">The pre-launch items from Section 6 remain the gating list: clean opening balances on go-live (now supported by the engine above), input validation (required invoice date + sanity threshold), separation of trade vs. asset payables (2115), historical COGS backfill, and consolidation of the duplicate COGS accounts (5001/5100). The audit’s core conclusion is unchanged: the accounting engine is sound and suitable to proceed toward launch.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AutomateXion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jc w:val="right"/>
    </w:pPr>
    <w:r>
      <w:rPr>
        <w:color w:val="888888"/>
        <w:sz w:val="16"/>
        <w:szCs w:val="16"/>
      </w:rPr>
      <w:t xml:space="preserve">Envoiso — Financial Integrity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C2446"/>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6DA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2026-06-19T16:13:38.815Z</dcterms:created>
  <dcterms:modified xsi:type="dcterms:W3CDTF">2026-06-19T16:13:38.815Z</dcterms:modified>
</cp:coreProperties>
</file>

<file path=docProps/custom.xml><?xml version="1.0" encoding="utf-8"?>
<Properties xmlns="http://schemas.openxmlformats.org/officeDocument/2006/custom-properties" xmlns:vt="http://schemas.openxmlformats.org/officeDocument/2006/docPropsVTypes"/>
</file>