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>
        <w:trPr/>
        <w:tc>
          <w:tcPr>
            <w:tcW w:w="5211" w:type="dxa"/>
            <w:gridSpan w:val="2"/>
            <w:tcBorders/>
            <w:shd w:val="clear" w:color="auto" w:fill="auto"/>
          </w:tcPr>
          <w:p>
            <w:pPr>
              <w:pStyle w:val="style0"/>
              <w:widowControl/>
              <w:jc w:val="center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tcBorders/>
            <w:shd w:val="clear" w:color="auto" w:fill="auto"/>
          </w:tcPr>
          <w:p>
            <w:pPr>
              <w:pStyle w:val="style0"/>
              <w:widowControl/>
              <w:jc w:val="center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评价</w:t>
            </w:r>
          </w:p>
        </w:tc>
      </w:tr>
      <w:tr>
        <w:tblPrEx/>
        <w:trPr/>
        <w:tc>
          <w:tcPr>
            <w:tcW w:w="3369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报人：</w:t>
            </w: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>韦</w:t>
            </w: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>民乐</w:t>
            </w:r>
          </w:p>
        </w:tc>
        <w:tc>
          <w:tcPr>
            <w:tcW w:w="1842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日期：</w:t>
            </w:r>
            <w:r>
              <w:rPr>
                <w:rFonts w:ascii="宋体" w:cs="Times New Roman" w:eastAsia="宋体" w:hAnsi="宋体"/>
                <w:color w:val="ff0000"/>
                <w:kern w:val="0"/>
                <w:sz w:val="28"/>
                <w:szCs w:val="21"/>
              </w:rPr>
              <w:t>201</w:t>
            </w:r>
            <w:r>
              <w:rPr>
                <w:rFonts w:ascii="宋体" w:cs="Times New Roman" w:eastAsia="宋体" w:hAnsi="宋体"/>
                <w:color w:val="ff0000"/>
                <w:kern w:val="0"/>
                <w:sz w:val="28"/>
                <w:szCs w:val="21"/>
              </w:rPr>
              <w:t>9</w:t>
            </w:r>
            <w:r>
              <w:rPr>
                <w:rFonts w:ascii="宋体" w:cs="Times New Roman" w:eastAsia="宋体" w:hAnsi="宋体"/>
                <w:color w:val="ff0000"/>
                <w:kern w:val="0"/>
                <w:sz w:val="28"/>
                <w:szCs w:val="21"/>
              </w:rPr>
              <w:t>-</w:t>
            </w:r>
            <w:r>
              <w:rPr>
                <w:rFonts w:ascii="宋体" w:cs="Times New Roman" w:eastAsia="宋体" w:hAnsi="宋体"/>
                <w:color w:val="ff0000"/>
                <w:kern w:val="0"/>
                <w:sz w:val="28"/>
                <w:szCs w:val="21"/>
              </w:rPr>
              <w:t>01</w:t>
            </w:r>
            <w:r>
              <w:rPr>
                <w:rFonts w:ascii="宋体" w:cs="Times New Roman" w:eastAsia="宋体" w:hAnsi="宋体"/>
                <w:color w:val="ff0000"/>
                <w:kern w:val="0"/>
                <w:sz w:val="28"/>
                <w:szCs w:val="21"/>
              </w:rPr>
              <w:t>-</w:t>
            </w: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>21</w:t>
            </w:r>
          </w:p>
        </w:tc>
        <w:tc>
          <w:tcPr>
            <w:tcW w:w="1163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得分及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自我评价</w:t>
            </w:r>
          </w:p>
        </w:tc>
      </w:tr>
      <w:tr>
        <w:tblPrEx/>
        <w:trPr/>
        <w:tc>
          <w:tcPr>
            <w:tcW w:w="5211" w:type="dxa"/>
            <w:gridSpan w:val="2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本周工作：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本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主要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完成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Faster-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Rcnn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这篇论文的精度，了解了具体流程和细节，并且观看了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TensorFlow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以及Faster-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Rcnn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代码的讲解视频。通读了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天池医疗AI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大赛冠军团队关于肺结节检测算法的论文，了解了其大致框架及流程。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主要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：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Faster-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R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cnn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该怎么实现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，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怎么使用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TensorFlow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，如何将Faster-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Rcnn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用于肺结节检测，这和普通的目标检测有什么不同</w:t>
            </w:r>
          </w:p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3.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解决方法：精度论文与观看教学视频</w:t>
            </w:r>
          </w:p>
        </w:tc>
        <w:tc>
          <w:tcPr>
            <w:tcW w:w="1163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>基本完成</w:t>
            </w: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color w:val="ff0000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 w:hint="eastAsia"/>
                <w:color w:val="ff0000"/>
                <w:kern w:val="0"/>
                <w:sz w:val="28"/>
                <w:szCs w:val="21"/>
              </w:rPr>
              <w:t>B</w:t>
            </w:r>
          </w:p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宋体" w:eastAsia="宋体" w:hAnsi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cs="宋体" w:eastAsia="宋体" w:hAnsi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cs="宋体" w:eastAsia="宋体" w:hAnsi="宋体"/>
                <w:color w:val="ff0000"/>
                <w:sz w:val="28"/>
              </w:rPr>
              <w:t>工作内容</w:t>
            </w:r>
            <w:r>
              <w:rPr>
                <w:rFonts w:ascii="宋体" w:cs="宋体" w:eastAsia="宋体" w:hAnsi="宋体" w:hint="eastAsia"/>
                <w:color w:val="ff0000"/>
                <w:sz w:val="28"/>
              </w:rPr>
              <w:t>与项目相关</w:t>
            </w:r>
            <w:r>
              <w:rPr>
                <w:rFonts w:ascii="宋体" w:cs="宋体" w:eastAsia="宋体" w:hAnsi="宋体"/>
                <w:color w:val="ff0000"/>
                <w:sz w:val="28"/>
              </w:rPr>
              <w:t>。</w:t>
            </w:r>
          </w:p>
        </w:tc>
      </w:tr>
      <w:tr>
        <w:tblPrEx/>
        <w:trPr/>
        <w:tc>
          <w:tcPr>
            <w:tcW w:w="8758" w:type="dxa"/>
            <w:gridSpan w:val="5"/>
            <w:tcBorders/>
            <w:shd w:val="clear" w:color="auto" w:fill="auto"/>
          </w:tcPr>
          <w:p>
            <w:pPr>
              <w:pStyle w:val="style0"/>
              <w:widowControl/>
              <w:jc w:val="left"/>
              <w:rPr>
                <w:rFonts w:ascii="宋体" w:cs="Times New Roman" w:eastAsia="宋体" w:hAnsi="宋体"/>
                <w:kern w:val="0"/>
                <w:sz w:val="28"/>
                <w:szCs w:val="21"/>
              </w:rPr>
            </w:pPr>
            <w:r>
              <w:rPr>
                <w:rFonts w:ascii="宋体" w:cs="Times New Roman" w:eastAsia="宋体" w:hAnsi="宋体"/>
                <w:kern w:val="0"/>
                <w:sz w:val="28"/>
                <w:szCs w:val="21"/>
              </w:rPr>
              <w:t>下周工作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：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继续研究Faster-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Rcnn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这篇论文，配置相关环境跑通代码，精读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天池医疗AI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大赛冠军团队关于肺结节检测算法的论文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，结合其讲解视频，研究其实现的具体细节</w:t>
            </w:r>
            <w:r>
              <w:rPr>
                <w:rFonts w:ascii="宋体" w:cs="Times New Roman" w:eastAsia="宋体" w:hAnsi="宋体" w:hint="eastAsia"/>
                <w:kern w:val="0"/>
                <w:sz w:val="28"/>
                <w:szCs w:val="21"/>
              </w:rPr>
              <w:t>。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jc w:val="left"/>
        <w:rPr/>
      </w:pPr>
      <w:r>
        <w:br w:type="page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>
        <w:trPr/>
        <w:tc>
          <w:tcPr>
            <w:tcW w:w="8296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15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</w:t>
            </w:r>
            <w:r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>1.</w:t>
            </w:r>
            <w:r>
              <w:rPr>
                <w:rFonts w:hint="eastAsia"/>
                <w:b/>
                <w:sz w:val="36"/>
                <w:szCs w:val="36"/>
              </w:rPr>
              <w:t>21</w:t>
            </w:r>
          </w:p>
        </w:tc>
      </w:tr>
      <w:tr>
        <w:tblPrEx/>
        <w:trPr/>
        <w:tc>
          <w:tcPr>
            <w:tcW w:w="127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>
        <w:tblPrEx/>
        <w:trPr/>
        <w:tc>
          <w:tcPr>
            <w:tcW w:w="1271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韦</w:t>
            </w:r>
            <w:r>
              <w:rPr>
                <w:rFonts w:hint="eastAsia"/>
              </w:rPr>
              <w:t>民乐</w:t>
            </w:r>
          </w:p>
        </w:tc>
        <w:tc>
          <w:tcPr>
            <w:tcW w:w="2977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  <w:tcBorders/>
          </w:tcPr>
          <w:p>
            <w:pPr>
              <w:pStyle w:val="style0"/>
              <w:rPr/>
            </w:pPr>
            <w:r>
              <w:t>B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C091D0"/>
    <w:lvl w:ilvl="0" w:tplc="35B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342</Words>
  <Pages>2</Pages>
  <Characters>460</Characters>
  <Application>WPS Office</Application>
  <DocSecurity>0</DocSecurity>
  <Paragraphs>37</Paragraphs>
  <ScaleCrop>false</ScaleCrop>
  <LinksUpToDate>false</LinksUpToDate>
  <CharactersWithSpaces>461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2019-01-21T14:23:00Z</dcterms:created>
  <dc:creator>Windows 用户</dc:creator>
  <lastModifiedBy>ONEPLUS A5010</lastModifiedBy>
  <dcterms:modified xsi:type="dcterms:W3CDTF">2019-01-21T14:53:12Z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