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32"/>
        </w:rPr>
        <w:t>AUTONEX PRIVATE LIMITED</w:t>
      </w:r>
    </w:p>
    <w:p>
      <w:pPr>
        <w:jc w:val="center"/>
      </w:pPr>
      <w:r>
        <w:rPr>
          <w:rFonts w:ascii="Calibri" w:hAnsi="Calibri"/>
          <w:b w:val="0"/>
          <w:sz w:val="22"/>
        </w:rPr>
        <w:t>www.autonex.in  |  hr@autonex.in</w:t>
      </w:r>
    </w:p>
    <w:p>
      <w:pPr>
        <w:pBdr>
          <w:bottom w:val="single" w:sz="6" w:space="1" w:color="1F497D"/>
        </w:pBdr>
      </w:pPr>
    </w:p>
    <w:p/>
    <w:p>
      <w:pPr>
        <w:jc w:val="left"/>
      </w:pPr>
      <w:r>
        <w:rPr>
          <w:rFonts w:ascii="Calibri" w:hAnsi="Calibri"/>
          <w:b w:val="0"/>
          <w:sz w:val="22"/>
        </w:rPr>
        <w:t>Employee: {{ employee_name }}</w:t>
      </w:r>
    </w:p>
    <w:p>
      <w:pPr>
        <w:jc w:val="left"/>
      </w:pPr>
      <w:r>
        <w:rPr>
          <w:rFonts w:ascii="Calibri" w:hAnsi="Calibri"/>
          <w:b w:val="0"/>
          <w:sz w:val="22"/>
        </w:rPr>
        <w:t>Designation: {{ designation }}</w:t>
      </w:r>
    </w:p>
    <w:p>
      <w:pPr>
        <w:jc w:val="left"/>
      </w:pPr>
      <w:r>
        <w:rPr>
          <w:rFonts w:ascii="Calibri" w:hAnsi="Calibri"/>
          <w:b w:val="0"/>
          <w:sz w:val="22"/>
        </w:rPr>
        <w:t>Effective Date: {{ effective_date }}</w:t>
      </w:r>
    </w:p>
    <w:p/>
    <w:p>
      <w:pPr>
        <w:jc w:val="center"/>
      </w:pPr>
      <w:r>
        <w:rPr>
          <w:rFonts w:ascii="Calibri" w:hAnsi="Calibri"/>
          <w:b/>
          <w:color w:val="1F497D"/>
          <w:sz w:val="26"/>
        </w:rPr>
        <w:t>SALARY STRUCTURE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Amount (per month)</w:t>
            </w:r>
          </w:p>
        </w:tc>
      </w:tr>
      <w:tr>
        <w:tc>
          <w:tcPr>
            <w:tcW w:type="dxa" w:w="4703"/>
          </w:tcPr>
          <w:p>
            <w:r>
              <w:t>Monthly Gross</w:t>
            </w:r>
          </w:p>
        </w:tc>
        <w:tc>
          <w:tcPr>
            <w:tcW w:type="dxa" w:w="4703"/>
          </w:tcPr>
          <w:p>
            <w:r>
              <w:t>{{ monthly_gross }}</w:t>
            </w:r>
          </w:p>
        </w:tc>
      </w:tr>
      <w:tr>
        <w:tc>
          <w:tcPr>
            <w:tcW w:type="dxa" w:w="4703"/>
          </w:tcPr>
          <w:p>
            <w:r>
              <w:t>Estimated In-Hand</w:t>
            </w:r>
          </w:p>
        </w:tc>
        <w:tc>
          <w:tcPr>
            <w:tcW w:type="dxa" w:w="4703"/>
          </w:tcPr>
          <w:p>
            <w:r>
              <w:t>{{ monthly_inhand }}</w:t>
            </w:r>
          </w:p>
        </w:tc>
      </w:tr>
      <w:tr>
        <w:tc>
          <w:tcPr>
            <w:tcW w:type="dxa" w:w="4703"/>
          </w:tcPr>
          <w:p>
            <w:r>
              <w:t>Annual CTC</w:t>
            </w:r>
          </w:p>
        </w:tc>
        <w:tc>
          <w:tcPr>
            <w:tcW w:type="dxa" w:w="4703"/>
          </w:tcPr>
          <w:p>
            <w:r>
              <w:t>{{ annual_ctc }}</w:t>
            </w:r>
          </w:p>
        </w:tc>
      </w:tr>
      <w:tr>
        <w:tc>
          <w:tcPr>
            <w:tcW w:type="dxa" w:w="4703"/>
          </w:tcPr>
          <w:p>
            <w:r>
              <w:t>Annual In-Hand</w:t>
            </w:r>
          </w:p>
        </w:tc>
        <w:tc>
          <w:tcPr>
            <w:tcW w:type="dxa" w:w="4703"/>
          </w:tcPr>
          <w:p>
            <w:r>
              <w:t>{{ annual_inhand }}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sz w:val="22"/>
        </w:rPr>
        <w:t>* In-hand is an estimate after standard TDS and PF deductions.</w:t>
      </w:r>
    </w:p>
    <w:p/>
    <w:p>
      <w:pPr>
        <w:jc w:val="left"/>
      </w:pPr>
      <w:r>
        <w:rPr>
          <w:rFonts w:ascii="Calibri" w:hAnsi="Calibri"/>
          <w:b/>
          <w:sz w:val="22"/>
        </w:rPr>
        <w:t>HR Department</w:t>
      </w:r>
    </w:p>
    <w:p>
      <w:pPr>
        <w:jc w:val="left"/>
      </w:pPr>
      <w:r>
        <w:rPr>
          <w:rFonts w:ascii="Calibri" w:hAnsi="Calibri"/>
          <w:b w:val="0"/>
          <w:sz w:val="22"/>
        </w:rPr>
        <w:t>Autonex Pvt. Ltd.</w:t>
      </w:r>
    </w:p>
    <w:p>
      <w:pPr>
        <w:pBdr>
          <w:bottom w:val="single" w:sz="6" w:space="1" w:color="1F497D"/>
        </w:pBdr>
      </w:pPr>
    </w:p>
    <w:p>
      <w:pPr>
        <w:jc w:val="center"/>
      </w:pPr>
      <w:r>
        <w:rPr>
          <w:rFonts w:ascii="Calibri" w:hAnsi="Calibri"/>
          <w:b w:val="0"/>
          <w:color w:val="808080"/>
          <w:sz w:val="18"/>
        </w:rPr>
        <w:t>Autonex Pvt. Ltd. |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