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42E7" w14:textId="77777777" w:rsidR="00626874" w:rsidRDefault="004221CC">
      <w:pPr>
        <w:pStyle w:val="a3"/>
        <w:adjustRightInd w:val="0"/>
        <w:snapToGrid w:val="0"/>
        <w:spacing w:line="560" w:lineRule="exact"/>
        <w:ind w:firstLineChars="0" w:firstLine="0"/>
        <w:jc w:val="center"/>
        <w:rPr>
          <w:rFonts w:ascii="方正小标宋简体" w:eastAsia="方正小标宋简体" w:hAnsi="黑体" w:cs="黑体"/>
          <w:bCs/>
          <w:color w:val="000000"/>
          <w:sz w:val="44"/>
          <w:szCs w:val="32"/>
        </w:rPr>
      </w:pPr>
      <w:r>
        <w:rPr>
          <w:rFonts w:ascii="方正小标宋简体" w:eastAsia="方正小标宋简体" w:hAnsi="黑体" w:cs="黑体" w:hint="eastAsia"/>
          <w:bCs/>
          <w:color w:val="000000"/>
          <w:sz w:val="44"/>
          <w:szCs w:val="32"/>
        </w:rPr>
        <w:t>化妆品产品执行的标准</w:t>
      </w:r>
    </w:p>
    <w:p w14:paraId="05C25C2E" w14:textId="7E183264" w:rsidR="00626874" w:rsidRDefault="004221CC">
      <w:pPr>
        <w:pStyle w:val="a3"/>
        <w:adjustRightInd w:val="0"/>
        <w:snapToGrid w:val="0"/>
        <w:spacing w:line="560" w:lineRule="exact"/>
        <w:ind w:firstLine="640"/>
        <w:jc w:val="right"/>
        <w:rPr>
          <w:rFonts w:ascii="Times New Roman" w:eastAsia="仿宋" w:hAnsi="Times New Roman"/>
          <w:color w:val="000000"/>
          <w:sz w:val="32"/>
          <w:szCs w:val="32"/>
        </w:rPr>
      </w:pPr>
      <w:r>
        <w:rPr>
          <w:rFonts w:ascii="Times New Roman" w:eastAsia="仿宋" w:hAnsi="Times New Roman"/>
          <w:color w:val="000000"/>
          <w:sz w:val="32"/>
          <w:szCs w:val="32"/>
        </w:rPr>
        <w:t>（产品执行的标准编号</w:t>
      </w:r>
      <w:r>
        <w:rPr>
          <w:rFonts w:ascii="Times New Roman" w:eastAsia="仿宋" w:hAnsi="Times New Roman"/>
          <w:color w:val="000000"/>
          <w:sz w:val="32"/>
          <w:szCs w:val="32"/>
        </w:rPr>
        <w:fldChar w:fldCharType="begin"/>
      </w:r>
      <w:r>
        <w:rPr>
          <w:rFonts w:ascii="Times New Roman" w:eastAsia="仿宋" w:hAnsi="Times New Roman"/>
          <w:color w:val="000000"/>
          <w:sz w:val="32"/>
          <w:szCs w:val="32"/>
        </w:rPr>
        <w:instrText xml:space="preserve"> MERGEFIELD  ${bomNo} </w:instrText>
      </w:r>
      <w:r>
        <w:rPr>
          <w:rFonts w:ascii="Times New Roman" w:eastAsia="仿宋" w:hAnsi="Times New Roman"/>
          <w:color w:val="000000"/>
          <w:sz w:val="32"/>
          <w:szCs w:val="32"/>
        </w:rPr>
        <w:fldChar w:fldCharType="separate"/>
      </w:r>
      <w:r>
        <w:rPr>
          <w:rFonts w:ascii="Times New Roman" w:eastAsia="仿宋" w:hAnsi="Times New Roman"/>
          <w:noProof/>
          <w:color w:val="000000"/>
          <w:sz w:val="32"/>
          <w:szCs w:val="32"/>
        </w:rPr>
        <w:t>«${bomNo}»</w:t>
      </w:r>
      <w:r>
        <w:rPr>
          <w:rFonts w:ascii="Times New Roman" w:eastAsia="仿宋" w:hAnsi="Times New Roman"/>
          <w:color w:val="000000"/>
          <w:sz w:val="32"/>
          <w:szCs w:val="32"/>
        </w:rPr>
        <w:fldChar w:fldCharType="end"/>
      </w:r>
      <w:r>
        <w:rPr>
          <w:rFonts w:ascii="Times New Roman" w:eastAsia="仿宋" w:hAnsi="Times New Roman"/>
          <w:color w:val="000000"/>
          <w:sz w:val="32"/>
          <w:szCs w:val="32"/>
        </w:rPr>
        <w:t>）</w:t>
      </w:r>
    </w:p>
    <w:p w14:paraId="0C571666" w14:textId="5FB5A85C" w:rsidR="00626874" w:rsidRPr="00AA7612" w:rsidRDefault="00AA7612" w:rsidP="00AA7612">
      <w:pPr>
        <w:adjustRightInd w:val="0"/>
        <w:snapToGrid w:val="0"/>
        <w:spacing w:line="560" w:lineRule="exact"/>
        <w:ind w:firstLineChars="131" w:firstLine="419"/>
        <w:rPr>
          <w:rFonts w:eastAsia="仿宋_GB2312"/>
          <w:color w:val="000000"/>
          <w:sz w:val="32"/>
          <w:szCs w:val="32"/>
        </w:rPr>
      </w:pPr>
      <w:r w:rsidRPr="00AA7612">
        <w:rPr>
          <w:rFonts w:eastAsia="仿宋_GB2312" w:hint="eastAsia"/>
          <w:color w:val="000000"/>
          <w:sz w:val="32"/>
          <w:szCs w:val="32"/>
        </w:rPr>
        <w:t>产品</w:t>
      </w:r>
      <w:r w:rsidR="004221CC" w:rsidRPr="00AA7612">
        <w:rPr>
          <w:rFonts w:eastAsia="仿宋_GB2312"/>
          <w:color w:val="000000"/>
          <w:sz w:val="32"/>
          <w:szCs w:val="32"/>
        </w:rPr>
        <w:t>名称</w:t>
      </w:r>
      <w:r w:rsidR="004221CC" w:rsidRPr="00AA7612">
        <w:rPr>
          <w:rFonts w:eastAsia="仿宋_GB2312"/>
          <w:color w:val="000000"/>
          <w:sz w:val="19"/>
          <w:szCs w:val="19"/>
        </w:rPr>
        <w:t>（</w:t>
      </w:r>
      <w:r w:rsidR="00703907" w:rsidRPr="00AA7612">
        <w:rPr>
          <w:rFonts w:eastAsia="仿宋_GB2312"/>
          <w:color w:val="000000"/>
          <w:sz w:val="19"/>
          <w:szCs w:val="19"/>
        </w:rPr>
        <w:fldChar w:fldCharType="begin"/>
      </w:r>
      <w:r w:rsidR="00703907" w:rsidRPr="00AA7612">
        <w:rPr>
          <w:rFonts w:eastAsia="仿宋_GB2312"/>
          <w:color w:val="000000"/>
          <w:sz w:val="19"/>
          <w:szCs w:val="19"/>
        </w:rPr>
        <w:instrText xml:space="preserve"> MERGEFIELD  ${itemName} </w:instrText>
      </w:r>
      <w:r w:rsidR="00703907" w:rsidRPr="00AA7612">
        <w:rPr>
          <w:rFonts w:eastAsia="仿宋_GB2312"/>
          <w:color w:val="000000"/>
          <w:sz w:val="19"/>
          <w:szCs w:val="19"/>
        </w:rPr>
        <w:fldChar w:fldCharType="separate"/>
      </w:r>
      <w:r w:rsidR="00703907" w:rsidRPr="00AA7612">
        <w:rPr>
          <w:rFonts w:eastAsia="仿宋_GB2312"/>
          <w:noProof/>
          <w:color w:val="000000"/>
          <w:sz w:val="19"/>
          <w:szCs w:val="19"/>
        </w:rPr>
        <w:t>«${itemName}»</w:t>
      </w:r>
      <w:r w:rsidR="00703907" w:rsidRPr="00AA7612">
        <w:rPr>
          <w:rFonts w:eastAsia="仿宋_GB2312"/>
          <w:color w:val="000000"/>
          <w:sz w:val="19"/>
          <w:szCs w:val="19"/>
        </w:rPr>
        <w:fldChar w:fldCharType="end"/>
      </w:r>
      <w:r w:rsidR="004221CC" w:rsidRPr="00AA7612">
        <w:rPr>
          <w:rFonts w:eastAsia="仿宋_GB2312"/>
          <w:color w:val="000000"/>
          <w:sz w:val="19"/>
          <w:szCs w:val="19"/>
        </w:rPr>
        <w:t>）</w:t>
      </w:r>
    </w:p>
    <w:p w14:paraId="0402F7B0" w14:textId="08732248" w:rsidR="00626874" w:rsidRPr="00AA7612" w:rsidRDefault="00AA7612" w:rsidP="00AA7612">
      <w:pPr>
        <w:adjustRightInd w:val="0"/>
        <w:snapToGrid w:val="0"/>
        <w:spacing w:line="560" w:lineRule="exact"/>
        <w:ind w:firstLineChars="131" w:firstLine="419"/>
        <w:rPr>
          <w:rFonts w:eastAsia="仿宋_GB2312"/>
          <w:color w:val="000000"/>
          <w:sz w:val="32"/>
          <w:szCs w:val="32"/>
        </w:rPr>
      </w:pPr>
      <w:r w:rsidRPr="00AA7612">
        <w:rPr>
          <w:rFonts w:eastAsia="仿宋_GB2312" w:hint="eastAsia"/>
          <w:color w:val="000000"/>
          <w:sz w:val="32"/>
          <w:szCs w:val="32"/>
        </w:rPr>
        <w:t>英文</w:t>
      </w:r>
      <w:r w:rsidR="004221CC" w:rsidRPr="00AA7612">
        <w:rPr>
          <w:rFonts w:eastAsia="仿宋_GB2312"/>
          <w:color w:val="000000"/>
          <w:sz w:val="32"/>
          <w:szCs w:val="32"/>
        </w:rPr>
        <w:t>名称</w:t>
      </w:r>
      <w:r w:rsidR="004221CC" w:rsidRPr="00AA7612">
        <w:rPr>
          <w:rFonts w:eastAsia="仿宋_GB2312"/>
          <w:color w:val="000000"/>
          <w:sz w:val="19"/>
          <w:szCs w:val="19"/>
        </w:rPr>
        <w:t>（）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26874" w14:paraId="6425F1CF" w14:textId="77777777">
        <w:trPr>
          <w:trHeight w:val="600"/>
          <w:tblCellSpacing w:w="0" w:type="dxa"/>
        </w:trPr>
        <w:tc>
          <w:tcPr>
            <w:tcW w:w="8640" w:type="dxa"/>
            <w:vAlign w:val="center"/>
          </w:tcPr>
          <w:p w14:paraId="00E4C9FF" w14:textId="4F7B5421" w:rsidR="00626874" w:rsidRDefault="004221CC">
            <w:pPr>
              <w:widowControl/>
              <w:jc w:val="left"/>
              <w:rPr>
                <w:rFonts w:eastAsia="仿宋_GB2312"/>
                <w:color w:val="000000"/>
                <w:kern w:val="0"/>
                <w:sz w:val="24"/>
              </w:rPr>
            </w:pPr>
            <w:r>
              <w:rPr>
                <w:rFonts w:eastAsia="仿宋_GB2312"/>
                <w:b/>
                <w:bCs/>
                <w:color w:val="000000"/>
                <w:sz w:val="28"/>
                <w:szCs w:val="28"/>
              </w:rPr>
              <w:t>【配方全成分】</w:t>
            </w:r>
          </w:p>
        </w:tc>
      </w:tr>
      <w:tr w:rsidR="00626874" w14:paraId="65DF521E" w14:textId="77777777">
        <w:trPr>
          <w:tblCellSpacing w:w="0" w:type="dxa"/>
        </w:trPr>
        <w:tc>
          <w:tcPr>
            <w:tcW w:w="8640" w:type="dxa"/>
            <w:vAlign w:val="center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08"/>
            </w:tblGrid>
            <w:tr w:rsidR="00626874" w14:paraId="0BC5203C" w14:textId="77777777">
              <w:trPr>
                <w:trHeight w:val="450"/>
                <w:tblCellSpacing w:w="0" w:type="dxa"/>
              </w:trPr>
              <w:tc>
                <w:tcPr>
                  <w:tcW w:w="8208" w:type="dxa"/>
                  <w:shd w:val="clear" w:color="auto" w:fill="FFFFFF"/>
                  <w:vAlign w:val="center"/>
                </w:tcPr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782"/>
                    <w:gridCol w:w="21"/>
                    <w:gridCol w:w="21"/>
                    <w:gridCol w:w="21"/>
                    <w:gridCol w:w="20"/>
                    <w:gridCol w:w="30"/>
                  </w:tblGrid>
                  <w:tr w:rsidR="00626874" w14:paraId="72AFA32B" w14:textId="77777777">
                    <w:trPr>
                      <w:gridAfter w:val="1"/>
                      <w:wAfter w:w="19" w:type="pct"/>
                      <w:trHeight w:val="450"/>
                      <w:tblCellSpacing w:w="0" w:type="dxa"/>
                    </w:trPr>
                    <w:tc>
                      <w:tcPr>
                        <w:tcW w:w="7865" w:type="dxa"/>
                        <w:gridSpan w:val="5"/>
                        <w:shd w:val="clear" w:color="auto" w:fill="FFFFFF"/>
                        <w:vAlign w:val="center"/>
                      </w:tcPr>
                      <w:p w14:paraId="1EBA788E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kern w:val="0"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kern w:val="0"/>
                            <w:sz w:val="28"/>
                            <w:szCs w:val="28"/>
                          </w:rPr>
                          <w:t>表</w:t>
                        </w:r>
                        <w:r>
                          <w:rPr>
                            <w:rFonts w:eastAsia="仿宋_GB2312"/>
                            <w:color w:val="000000"/>
                            <w:kern w:val="0"/>
                            <w:sz w:val="28"/>
                            <w:szCs w:val="28"/>
                          </w:rPr>
                          <w:t>1  </w:t>
                        </w:r>
                        <w:r>
                          <w:rPr>
                            <w:rFonts w:eastAsia="仿宋_GB2312"/>
                            <w:color w:val="000000"/>
                            <w:kern w:val="0"/>
                            <w:sz w:val="28"/>
                            <w:szCs w:val="28"/>
                          </w:rPr>
                          <w:t>产品配方原料和使用目的</w:t>
                        </w:r>
                      </w:p>
                    </w:tc>
                  </w:tr>
                  <w:tr w:rsidR="00626874" w14:paraId="7713036C" w14:textId="77777777">
                    <w:trPr>
                      <w:tblCellSpacing w:w="0" w:type="dxa"/>
                    </w:trPr>
                    <w:tc>
                      <w:tcPr>
                        <w:tcW w:w="7782" w:type="dxa"/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Borders>
                            <w:top w:val="single" w:sz="6" w:space="0" w:color="000000"/>
                            <w:right w:val="single" w:sz="6" w:space="0" w:color="000000"/>
                          </w:tblBorders>
                          <w:shd w:val="clear" w:color="auto" w:fill="000000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54"/>
                          <w:gridCol w:w="4470"/>
                          <w:gridCol w:w="2196"/>
                        </w:tblGrid>
                        <w:tr w:rsidR="00626874" w14:paraId="4F3218FC" w14:textId="77777777">
                          <w:trPr>
                            <w:trHeight w:val="450"/>
                            <w:tblCellSpacing w:w="0" w:type="dxa"/>
                            <w:jc w:val="center"/>
                          </w:trPr>
                          <w:tc>
                            <w:tcPr>
                              <w:tcW w:w="65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 w14:paraId="5713A2AE" w14:textId="77777777" w:rsidR="00626874" w:rsidRDefault="004221CC">
                              <w:pPr>
                                <w:widowControl/>
                                <w:jc w:val="center"/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t>序号</w:t>
                              </w:r>
                            </w:p>
                          </w:tc>
                          <w:tc>
                            <w:tcPr>
                              <w:tcW w:w="4470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 w14:paraId="2754C301" w14:textId="77777777" w:rsidR="00626874" w:rsidRDefault="004221CC">
                              <w:pPr>
                                <w:widowControl/>
                                <w:jc w:val="center"/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t>原料中文名称</w:t>
                              </w:r>
                            </w:p>
                          </w:tc>
                          <w:tc>
                            <w:tcPr>
                              <w:tcW w:w="2196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 w14:paraId="79C9D660" w14:textId="77777777" w:rsidR="00626874" w:rsidRDefault="004221CC">
                              <w:pPr>
                                <w:widowControl/>
                                <w:jc w:val="center"/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t>使用目的</w:t>
                              </w:r>
                            </w:p>
                          </w:tc>
                        </w:tr>
                        <w:tr w:rsidR="00626874" w14:paraId="3781D061" w14:textId="77777777">
                          <w:trPr>
                            <w:trHeight w:val="450"/>
                            <w:tblCellSpacing w:w="0" w:type="dxa"/>
                            <w:jc w:val="center"/>
                          </w:trPr>
                          <w:tc>
                            <w:tcPr>
                              <w:tcW w:w="65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 w14:paraId="4FF55BFB" w14:textId="4CC8EF95" w:rsidR="00626874" w:rsidRDefault="00AC0EF1">
                              <w:pPr>
                                <w:widowControl/>
                                <w:wordWrap w:val="0"/>
                                <w:jc w:val="center"/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instrText xml:space="preserve"> MERGEFIELD  ${baseBom.itemSort}  \* MERGEFORMAT </w:instrText>
                              </w: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="仿宋_GB2312"/>
                                  <w:noProof/>
                                  <w:color w:val="000000"/>
                                  <w:kern w:val="0"/>
                                  <w:sz w:val="24"/>
                                </w:rPr>
                                <w:t>«${baseBom.itemSort}»</w:t>
                              </w: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4470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 w14:paraId="12D67D42" w14:textId="645EED72" w:rsidR="00626874" w:rsidRDefault="000D2DBE">
                              <w:pPr>
                                <w:widowControl/>
                                <w:wordWrap w:val="0"/>
                                <w:jc w:val="center"/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instrText xml:space="preserve"> MERGEFIELD  ${baseBom.inciNameCn}  \* MERGEFORMAT </w:instrText>
                              </w: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="仿宋_GB2312"/>
                                  <w:noProof/>
                                  <w:color w:val="000000"/>
                                  <w:kern w:val="0"/>
                                  <w:sz w:val="24"/>
                                </w:rPr>
                                <w:t>«${baseBom.inciNameCn}»</w:t>
                              </w: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2196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 w14:paraId="499014FB" w14:textId="06D85CCD" w:rsidR="00626874" w:rsidRDefault="004842B0" w:rsidP="00FE4753">
                              <w:pPr>
                                <w:widowControl/>
                                <w:wordWrap w:val="0"/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instrText xml:space="preserve"> MERGEFIELD  ${baseBom.property} </w:instrText>
                              </w: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="仿宋_GB2312"/>
                                  <w:noProof/>
                                  <w:color w:val="000000"/>
                                  <w:kern w:val="0"/>
                                  <w:sz w:val="24"/>
                                </w:rPr>
                                <w:t>«${baseBom.property}»</w:t>
                              </w:r>
                              <w:r>
                                <w:rPr>
                                  <w:rFonts w:eastAsia="仿宋_GB2312"/>
                                  <w:color w:val="000000"/>
                                  <w:kern w:val="0"/>
                                  <w:sz w:val="24"/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376323F9" w14:textId="77777777" w:rsidR="00626874" w:rsidRDefault="00626874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kern w:val="0"/>
                            <w:sz w:val="24"/>
                          </w:rPr>
                        </w:pPr>
                      </w:p>
                    </w:tc>
                    <w:tc>
                      <w:tcPr>
                        <w:tcW w:w="21" w:type="dxa"/>
                        <w:vAlign w:val="center"/>
                      </w:tcPr>
                      <w:p w14:paraId="7167CE30" w14:textId="77777777" w:rsidR="00626874" w:rsidRDefault="00626874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21" w:type="dxa"/>
                        <w:vAlign w:val="center"/>
                      </w:tcPr>
                      <w:p w14:paraId="365DF343" w14:textId="77777777" w:rsidR="00626874" w:rsidRDefault="00626874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21" w:type="dxa"/>
                        <w:vAlign w:val="center"/>
                      </w:tcPr>
                      <w:p w14:paraId="4D4A1380" w14:textId="77777777" w:rsidR="00626874" w:rsidRDefault="00626874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  <w:vAlign w:val="center"/>
                      </w:tcPr>
                      <w:p w14:paraId="2DDAFE40" w14:textId="77777777" w:rsidR="00626874" w:rsidRDefault="00626874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  <w:tc>
                      <w:tcPr>
                        <w:tcW w:w="30" w:type="dxa"/>
                        <w:vAlign w:val="center"/>
                      </w:tcPr>
                      <w:p w14:paraId="4558B48B" w14:textId="77777777" w:rsidR="00626874" w:rsidRDefault="00626874">
                        <w:pPr>
                          <w:widowControl/>
                          <w:jc w:val="left"/>
                          <w:rPr>
                            <w:rFonts w:eastAsia="仿宋_GB2312"/>
                            <w:color w:val="000000"/>
                            <w:kern w:val="0"/>
                            <w:sz w:val="20"/>
                          </w:rPr>
                        </w:pPr>
                      </w:p>
                    </w:tc>
                  </w:tr>
                </w:tbl>
                <w:p w14:paraId="2F7738A7" w14:textId="77777777" w:rsidR="00626874" w:rsidRDefault="00626874">
                  <w:pPr>
                    <w:widowControl/>
                    <w:jc w:val="center"/>
                    <w:rPr>
                      <w:rFonts w:eastAsia="仿宋_GB2312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4A6027AF" w14:textId="77777777" w:rsidR="00626874" w:rsidRDefault="00626874">
            <w:pPr>
              <w:widowControl/>
              <w:jc w:val="left"/>
              <w:rPr>
                <w:rFonts w:eastAsia="仿宋_GB2312"/>
                <w:color w:val="000000"/>
                <w:kern w:val="0"/>
                <w:sz w:val="24"/>
              </w:rPr>
            </w:pPr>
          </w:p>
        </w:tc>
      </w:tr>
    </w:tbl>
    <w:p w14:paraId="435E382B" w14:textId="32B40F24" w:rsidR="00626874" w:rsidRDefault="00865AEE" w:rsidP="00865AEE">
      <w:pPr>
        <w:widowControl/>
        <w:tabs>
          <w:tab w:val="left" w:pos="7530"/>
        </w:tabs>
        <w:spacing w:line="560" w:lineRule="exact"/>
        <w:jc w:val="left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ab/>
      </w:r>
    </w:p>
    <w:p w14:paraId="109D9959" w14:textId="77777777" w:rsidR="00626874" w:rsidRDefault="004221CC">
      <w:pPr>
        <w:widowControl/>
        <w:spacing w:line="560" w:lineRule="exact"/>
        <w:jc w:val="left"/>
        <w:rPr>
          <w:rFonts w:eastAsia="仿宋_GB2312"/>
          <w:color w:val="000000"/>
          <w:sz w:val="28"/>
          <w:szCs w:val="28"/>
        </w:rPr>
      </w:pPr>
      <w:r>
        <w:rPr>
          <w:rFonts w:eastAsia="仿宋_GB2312"/>
          <w:color w:val="000000"/>
          <w:sz w:val="28"/>
          <w:szCs w:val="28"/>
        </w:rPr>
        <w:t>【</w:t>
      </w:r>
      <w:r>
        <w:rPr>
          <w:rFonts w:eastAsia="仿宋_GB2312"/>
          <w:b/>
          <w:bCs/>
          <w:color w:val="000000"/>
          <w:sz w:val="28"/>
          <w:szCs w:val="28"/>
        </w:rPr>
        <w:t>生产工艺简述</w:t>
      </w:r>
      <w:r>
        <w:rPr>
          <w:rFonts w:eastAsia="仿宋_GB2312"/>
          <w:color w:val="000000"/>
          <w:sz w:val="28"/>
          <w:szCs w:val="28"/>
        </w:rPr>
        <w:t>】</w:t>
      </w:r>
    </w:p>
    <w:p w14:paraId="0910A900" w14:textId="19549A44" w:rsidR="00626874" w:rsidRDefault="0007725A">
      <w:pPr>
        <w:widowControl/>
        <w:spacing w:line="560" w:lineRule="exact"/>
        <w:jc w:val="left"/>
        <w:rPr>
          <w:rFonts w:eastAsia="仿宋_GB2312"/>
          <w:b/>
          <w:bCs/>
          <w:color w:val="000000"/>
          <w:sz w:val="28"/>
          <w:szCs w:val="28"/>
        </w:rPr>
      </w:pPr>
      <w:r>
        <w:rPr>
          <w:rFonts w:eastAsia="仿宋_GB2312"/>
          <w:b/>
          <w:bCs/>
          <w:color w:val="000000"/>
          <w:sz w:val="28"/>
          <w:szCs w:val="28"/>
        </w:rPr>
        <w:fldChar w:fldCharType="begin"/>
      </w:r>
      <w:r>
        <w:rPr>
          <w:rFonts w:eastAsia="仿宋_GB2312"/>
          <w:b/>
          <w:bCs/>
          <w:color w:val="000000"/>
          <w:sz w:val="28"/>
          <w:szCs w:val="28"/>
        </w:rPr>
        <w:instrText xml:space="preserve"> MERGEFIELD  ${itemName}  \* MERGEFORMAT </w:instrText>
      </w:r>
      <w:r>
        <w:rPr>
          <w:rFonts w:eastAsia="仿宋_GB2312"/>
          <w:b/>
          <w:bCs/>
          <w:color w:val="000000"/>
          <w:sz w:val="28"/>
          <w:szCs w:val="28"/>
        </w:rPr>
        <w:fldChar w:fldCharType="separate"/>
      </w:r>
      <w:r>
        <w:rPr>
          <w:rFonts w:eastAsia="仿宋_GB2312"/>
          <w:b/>
          <w:bCs/>
          <w:color w:val="000000"/>
          <w:sz w:val="28"/>
          <w:szCs w:val="28"/>
        </w:rPr>
        <w:t>«${itemName}»</w:t>
      </w:r>
      <w:r>
        <w:rPr>
          <w:rFonts w:eastAsia="仿宋_GB2312"/>
          <w:b/>
          <w:bCs/>
          <w:color w:val="000000"/>
          <w:sz w:val="28"/>
          <w:szCs w:val="28"/>
        </w:rPr>
        <w:fldChar w:fldCharType="end"/>
      </w:r>
      <w:r w:rsidR="004221CC">
        <w:rPr>
          <w:rFonts w:eastAsia="仿宋_GB2312" w:hint="eastAsia"/>
          <w:b/>
          <w:bCs/>
          <w:color w:val="000000"/>
          <w:sz w:val="28"/>
          <w:szCs w:val="28"/>
        </w:rPr>
        <w:t>工艺简述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323B" w14:paraId="6B542765" w14:textId="77777777" w:rsidTr="003E323B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14:paraId="34BA54CE" w14:textId="3C82FACF" w:rsidR="003E323B" w:rsidRPr="00AC508F" w:rsidRDefault="00A507A8" w:rsidP="00A507A8">
            <w:pPr>
              <w:widowControl/>
              <w:numPr>
                <w:ilvl w:val="0"/>
                <w:numId w:val="9"/>
              </w:numPr>
              <w:spacing w:line="560" w:lineRule="exact"/>
              <w:ind w:left="0" w:firstLine="0"/>
              <w:jc w:val="left"/>
              <w:rPr>
                <w:rFonts w:eastAsia="仿宋_GB2312"/>
                <w:b/>
                <w:bCs/>
                <w:color w:val="000000"/>
                <w:sz w:val="28"/>
                <w:szCs w:val="28"/>
              </w:rPr>
            </w:pPr>
            <w:r w:rsidRPr="00A507A8">
              <w:rPr>
                <w:rFonts w:eastAsia="仿宋_GB2312"/>
                <w:sz w:val="32"/>
                <w:szCs w:val="32"/>
              </w:rPr>
              <w:fldChar w:fldCharType="begin"/>
            </w:r>
            <w:r w:rsidRPr="00A507A8">
              <w:rPr>
                <w:rFonts w:eastAsia="仿宋_GB2312"/>
                <w:sz w:val="32"/>
                <w:szCs w:val="32"/>
              </w:rPr>
              <w:instrText xml:space="preserve"> MERGEFIELD  ${process.processDesc}  \* MERGEFORMAT </w:instrText>
            </w:r>
            <w:r w:rsidRPr="00A507A8">
              <w:rPr>
                <w:rFonts w:eastAsia="仿宋_GB2312"/>
                <w:sz w:val="32"/>
                <w:szCs w:val="32"/>
              </w:rPr>
              <w:fldChar w:fldCharType="separate"/>
            </w:r>
            <w:r w:rsidRPr="00A507A8">
              <w:rPr>
                <w:rFonts w:eastAsia="仿宋_GB2312"/>
                <w:sz w:val="32"/>
                <w:szCs w:val="32"/>
              </w:rPr>
              <w:t>«${process.processDesc}»</w:t>
            </w:r>
            <w:r w:rsidRPr="00A507A8">
              <w:rPr>
                <w:rFonts w:eastAsia="仿宋_GB2312"/>
                <w:sz w:val="32"/>
                <w:szCs w:val="32"/>
              </w:rPr>
              <w:fldChar w:fldCharType="end"/>
            </w:r>
          </w:p>
        </w:tc>
      </w:tr>
    </w:tbl>
    <w:p w14:paraId="14B6AE10" w14:textId="77777777" w:rsidR="00D95A2F" w:rsidRDefault="00D95A2F">
      <w:pPr>
        <w:pStyle w:val="a3"/>
        <w:adjustRightInd w:val="0"/>
        <w:snapToGrid w:val="0"/>
        <w:spacing w:line="560" w:lineRule="exact"/>
        <w:ind w:firstLineChars="0" w:firstLine="0"/>
        <w:jc w:val="left"/>
        <w:rPr>
          <w:rFonts w:ascii="Times New Roman" w:eastAsia="仿宋_GB2312" w:hAnsi="Times New Roman"/>
          <w:b/>
          <w:bCs/>
          <w:color w:val="000000"/>
          <w:sz w:val="32"/>
          <w:szCs w:val="32"/>
        </w:rPr>
      </w:pPr>
    </w:p>
    <w:p w14:paraId="48354857" w14:textId="1E03D95E" w:rsidR="00626874" w:rsidRDefault="004221CC">
      <w:pPr>
        <w:pStyle w:val="a3"/>
        <w:adjustRightInd w:val="0"/>
        <w:snapToGrid w:val="0"/>
        <w:spacing w:line="560" w:lineRule="exact"/>
        <w:ind w:firstLineChars="0" w:firstLine="0"/>
        <w:jc w:val="left"/>
        <w:rPr>
          <w:rFonts w:eastAsia="仿宋_GB2312"/>
          <w:sz w:val="32"/>
          <w:szCs w:val="32"/>
        </w:rPr>
      </w:pPr>
      <w:r>
        <w:rPr>
          <w:rFonts w:ascii="Times New Roman" w:eastAsia="仿宋_GB2312" w:hAnsi="Times New Roman"/>
          <w:b/>
          <w:bCs/>
          <w:color w:val="000000"/>
          <w:sz w:val="32"/>
          <w:szCs w:val="32"/>
        </w:rPr>
        <w:t>【感官指标】</w:t>
      </w:r>
    </w:p>
    <w:p w14:paraId="3F251290" w14:textId="77777777" w:rsidR="00626874" w:rsidRDefault="004221CC">
      <w:pPr>
        <w:widowControl/>
        <w:spacing w:line="56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颜色：</w:t>
      </w:r>
      <w:r>
        <w:rPr>
          <w:rFonts w:eastAsia="仿宋_GB2312" w:hint="eastAsia"/>
          <w:sz w:val="32"/>
          <w:szCs w:val="32"/>
        </w:rPr>
        <w:t>白色；</w:t>
      </w:r>
    </w:p>
    <w:p w14:paraId="0C45F9CE" w14:textId="77777777" w:rsidR="00626874" w:rsidRDefault="004221CC">
      <w:pPr>
        <w:widowControl/>
        <w:spacing w:line="560" w:lineRule="exac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性状：</w:t>
      </w:r>
      <w:r>
        <w:rPr>
          <w:rFonts w:eastAsia="仿宋_GB2312" w:hint="eastAsia"/>
          <w:sz w:val="32"/>
          <w:szCs w:val="32"/>
        </w:rPr>
        <w:t>霜状；</w:t>
      </w:r>
    </w:p>
    <w:p w14:paraId="738CFEFE" w14:textId="77777777" w:rsidR="00626874" w:rsidRDefault="004221CC">
      <w:pPr>
        <w:widowControl/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气</w:t>
      </w:r>
      <w:r>
        <w:rPr>
          <w:rFonts w:eastAsia="仿宋_GB2312"/>
          <w:spacing w:val="-6"/>
          <w:sz w:val="32"/>
          <w:szCs w:val="32"/>
        </w:rPr>
        <w:t>味：</w:t>
      </w:r>
      <w:r>
        <w:rPr>
          <w:rFonts w:eastAsia="仿宋_GB2312" w:hint="eastAsia"/>
          <w:spacing w:val="-6"/>
          <w:sz w:val="32"/>
          <w:szCs w:val="32"/>
        </w:rPr>
        <w:t>有香味</w:t>
      </w:r>
      <w:r>
        <w:rPr>
          <w:rFonts w:eastAsia="仿宋_GB2312"/>
          <w:spacing w:val="-6"/>
          <w:sz w:val="32"/>
          <w:szCs w:val="32"/>
        </w:rPr>
        <w:t>；</w:t>
      </w:r>
    </w:p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26874" w14:paraId="621D70E5" w14:textId="77777777">
        <w:trPr>
          <w:trHeight w:val="450"/>
          <w:tblCellSpacing w:w="0" w:type="dxa"/>
          <w:jc w:val="center"/>
        </w:trPr>
        <w:tc>
          <w:tcPr>
            <w:tcW w:w="8640" w:type="dxa"/>
            <w:vAlign w:val="center"/>
          </w:tcPr>
          <w:p w14:paraId="031F4818" w14:textId="77777777" w:rsidR="00626874" w:rsidRDefault="004221CC">
            <w:pPr>
              <w:widowControl/>
              <w:ind w:leftChars="700" w:left="1470"/>
              <w:rPr>
                <w:rFonts w:eastAsia="仿宋"/>
                <w:sz w:val="28"/>
                <w:szCs w:val="28"/>
              </w:rPr>
            </w:pPr>
            <w:r>
              <w:rPr>
                <w:rFonts w:eastAsia="仿宋"/>
                <w:sz w:val="28"/>
                <w:szCs w:val="28"/>
              </w:rPr>
              <w:t>表</w:t>
            </w:r>
            <w:r>
              <w:rPr>
                <w:rFonts w:eastAsia="仿宋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  </w:t>
            </w:r>
            <w:r>
              <w:rPr>
                <w:rFonts w:ascii="宋体" w:hAnsi="宋体" w:cs="宋体" w:hint="eastAsia"/>
                <w:sz w:val="28"/>
                <w:szCs w:val="28"/>
              </w:rPr>
              <w:t>感官指标</w:t>
            </w:r>
          </w:p>
        </w:tc>
      </w:tr>
      <w:tr w:rsidR="00626874" w14:paraId="4024929D" w14:textId="77777777">
        <w:trPr>
          <w:trHeight w:val="450"/>
          <w:tblCellSpacing w:w="0" w:type="dxa"/>
          <w:jc w:val="center"/>
        </w:trPr>
        <w:tc>
          <w:tcPr>
            <w:tcW w:w="8640" w:type="dxa"/>
            <w:vAlign w:val="center"/>
          </w:tcPr>
          <w:tbl>
            <w:tblPr>
              <w:tblW w:w="0" w:type="auto"/>
              <w:tblCellSpacing w:w="0" w:type="dxa"/>
              <w:tblInd w:w="1" w:type="dxa"/>
              <w:tblBorders>
                <w:top w:val="single" w:sz="6" w:space="0" w:color="000000"/>
                <w:right w:val="single" w:sz="6" w:space="0" w:color="000000"/>
              </w:tblBorders>
              <w:shd w:val="clear" w:color="auto" w:fill="0000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6"/>
              <w:gridCol w:w="5773"/>
            </w:tblGrid>
            <w:tr w:rsidR="00626874" w14:paraId="53123FF3" w14:textId="77777777">
              <w:trPr>
                <w:trHeight w:val="450"/>
                <w:tblCellSpacing w:w="0" w:type="dxa"/>
              </w:trPr>
              <w:tc>
                <w:tcPr>
                  <w:tcW w:w="2606" w:type="dxa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FFFFF"/>
                  <w:vAlign w:val="center"/>
                </w:tcPr>
                <w:p w14:paraId="1E80F988" w14:textId="77777777" w:rsidR="00626874" w:rsidRDefault="004221CC">
                  <w:pPr>
                    <w:widowControl/>
                    <w:jc w:val="center"/>
                    <w:rPr>
                      <w:rFonts w:eastAsia="仿宋"/>
                      <w:kern w:val="0"/>
                      <w:sz w:val="28"/>
                      <w:szCs w:val="28"/>
                    </w:rPr>
                  </w:pPr>
                  <w:r>
                    <w:rPr>
                      <w:rFonts w:eastAsia="仿宋"/>
                      <w:kern w:val="0"/>
                      <w:sz w:val="28"/>
                      <w:szCs w:val="28"/>
                    </w:rPr>
                    <w:t>检验项目</w:t>
                  </w:r>
                </w:p>
              </w:tc>
              <w:tc>
                <w:tcPr>
                  <w:tcW w:w="5773" w:type="dxa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FFFFF"/>
                  <w:vAlign w:val="center"/>
                </w:tcPr>
                <w:p w14:paraId="54F195F2" w14:textId="77777777" w:rsidR="00626874" w:rsidRDefault="004221CC">
                  <w:pPr>
                    <w:widowControl/>
                    <w:jc w:val="center"/>
                    <w:rPr>
                      <w:rFonts w:eastAsia="仿宋"/>
                      <w:kern w:val="0"/>
                      <w:sz w:val="28"/>
                      <w:szCs w:val="28"/>
                    </w:rPr>
                  </w:pPr>
                  <w:r>
                    <w:rPr>
                      <w:rFonts w:eastAsia="仿宋"/>
                      <w:kern w:val="0"/>
                      <w:sz w:val="28"/>
                      <w:szCs w:val="28"/>
                    </w:rPr>
                    <w:t>指标</w:t>
                  </w:r>
                </w:p>
              </w:tc>
            </w:tr>
            <w:tr w:rsidR="00626874" w14:paraId="306740B1" w14:textId="77777777">
              <w:trPr>
                <w:trHeight w:val="300"/>
                <w:tblCellSpacing w:w="0" w:type="dxa"/>
              </w:trPr>
              <w:tc>
                <w:tcPr>
                  <w:tcW w:w="2606" w:type="dxa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FFFFF"/>
                  <w:vAlign w:val="center"/>
                </w:tcPr>
                <w:p w14:paraId="7E2C41B6" w14:textId="77777777" w:rsidR="00626874" w:rsidRDefault="004221CC">
                  <w:pPr>
                    <w:widowControl/>
                    <w:jc w:val="center"/>
                    <w:rPr>
                      <w:rFonts w:eastAsia="仿宋"/>
                      <w:kern w:val="0"/>
                      <w:sz w:val="28"/>
                      <w:szCs w:val="28"/>
                    </w:rPr>
                  </w:pPr>
                  <w:r>
                    <w:rPr>
                      <w:rFonts w:eastAsia="仿宋"/>
                      <w:kern w:val="0"/>
                      <w:sz w:val="28"/>
                      <w:szCs w:val="28"/>
                    </w:rPr>
                    <w:t>颜色</w:t>
                  </w:r>
                </w:p>
              </w:tc>
              <w:tc>
                <w:tcPr>
                  <w:tcW w:w="5773" w:type="dxa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FFFFF"/>
                  <w:vAlign w:val="center"/>
                </w:tcPr>
                <w:p w14:paraId="02E1EDAA" w14:textId="77777777" w:rsidR="00626874" w:rsidRDefault="004221CC">
                  <w:pPr>
                    <w:widowControl/>
                    <w:jc w:val="center"/>
                    <w:rPr>
                      <w:rFonts w:eastAsia="仿宋"/>
                      <w:kern w:val="0"/>
                      <w:sz w:val="28"/>
                      <w:szCs w:val="28"/>
                    </w:rPr>
                  </w:pPr>
                  <w:r>
                    <w:rPr>
                      <w:rFonts w:eastAsia="仿宋_GB2312" w:hint="eastAsia"/>
                      <w:sz w:val="32"/>
                      <w:szCs w:val="32"/>
                    </w:rPr>
                    <w:t>白色</w:t>
                  </w:r>
                </w:p>
              </w:tc>
            </w:tr>
            <w:tr w:rsidR="00626874" w14:paraId="39E7C411" w14:textId="77777777">
              <w:trPr>
                <w:trHeight w:val="300"/>
                <w:tblCellSpacing w:w="0" w:type="dxa"/>
              </w:trPr>
              <w:tc>
                <w:tcPr>
                  <w:tcW w:w="2606" w:type="dxa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FFFFF"/>
                  <w:vAlign w:val="center"/>
                </w:tcPr>
                <w:p w14:paraId="0429870C" w14:textId="77777777" w:rsidR="00626874" w:rsidRDefault="004221CC">
                  <w:pPr>
                    <w:widowControl/>
                    <w:jc w:val="center"/>
                    <w:rPr>
                      <w:rFonts w:eastAsia="仿宋"/>
                      <w:kern w:val="0"/>
                      <w:sz w:val="28"/>
                      <w:szCs w:val="28"/>
                    </w:rPr>
                  </w:pPr>
                  <w:r>
                    <w:rPr>
                      <w:rFonts w:eastAsia="仿宋"/>
                      <w:kern w:val="0"/>
                      <w:sz w:val="28"/>
                      <w:szCs w:val="28"/>
                    </w:rPr>
                    <w:t>性状</w:t>
                  </w:r>
                </w:p>
              </w:tc>
              <w:tc>
                <w:tcPr>
                  <w:tcW w:w="5773" w:type="dxa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FFFFF"/>
                  <w:vAlign w:val="center"/>
                </w:tcPr>
                <w:p w14:paraId="482E7914" w14:textId="77777777" w:rsidR="00626874" w:rsidRDefault="004221CC">
                  <w:pPr>
                    <w:widowControl/>
                    <w:jc w:val="center"/>
                    <w:rPr>
                      <w:rFonts w:eastAsia="仿宋"/>
                      <w:kern w:val="0"/>
                      <w:sz w:val="28"/>
                      <w:szCs w:val="28"/>
                    </w:rPr>
                  </w:pPr>
                  <w:r>
                    <w:rPr>
                      <w:rFonts w:eastAsia="仿宋_GB2312" w:hint="eastAsia"/>
                      <w:sz w:val="32"/>
                      <w:szCs w:val="32"/>
                    </w:rPr>
                    <w:t>霜状</w:t>
                  </w:r>
                </w:p>
              </w:tc>
            </w:tr>
            <w:tr w:rsidR="00626874" w14:paraId="7B085EF4" w14:textId="77777777">
              <w:trPr>
                <w:trHeight w:val="300"/>
                <w:tblCellSpacing w:w="0" w:type="dxa"/>
              </w:trPr>
              <w:tc>
                <w:tcPr>
                  <w:tcW w:w="2606" w:type="dxa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FFFFF"/>
                  <w:vAlign w:val="center"/>
                </w:tcPr>
                <w:p w14:paraId="0B5984D0" w14:textId="77777777" w:rsidR="00626874" w:rsidRDefault="004221CC">
                  <w:pPr>
                    <w:widowControl/>
                    <w:jc w:val="center"/>
                    <w:rPr>
                      <w:rFonts w:eastAsia="仿宋"/>
                      <w:kern w:val="0"/>
                      <w:sz w:val="28"/>
                      <w:szCs w:val="28"/>
                    </w:rPr>
                  </w:pPr>
                  <w:r>
                    <w:rPr>
                      <w:rFonts w:eastAsia="仿宋"/>
                      <w:kern w:val="0"/>
                      <w:sz w:val="28"/>
                      <w:szCs w:val="28"/>
                    </w:rPr>
                    <w:t>气味</w:t>
                  </w:r>
                </w:p>
              </w:tc>
              <w:tc>
                <w:tcPr>
                  <w:tcW w:w="5773" w:type="dxa"/>
                  <w:tcBorders>
                    <w:left w:val="single" w:sz="6" w:space="0" w:color="000000"/>
                    <w:bottom w:val="single" w:sz="6" w:space="0" w:color="000000"/>
                  </w:tcBorders>
                  <w:shd w:val="clear" w:color="auto" w:fill="FFFFFF"/>
                  <w:vAlign w:val="center"/>
                </w:tcPr>
                <w:p w14:paraId="0448E1BA" w14:textId="77777777" w:rsidR="00626874" w:rsidRDefault="004221CC">
                  <w:pPr>
                    <w:widowControl/>
                    <w:jc w:val="center"/>
                    <w:rPr>
                      <w:rFonts w:eastAsia="仿宋"/>
                      <w:color w:val="FF0000"/>
                      <w:kern w:val="0"/>
                      <w:sz w:val="28"/>
                      <w:szCs w:val="28"/>
                    </w:rPr>
                  </w:pPr>
                  <w:r>
                    <w:rPr>
                      <w:rFonts w:eastAsia="仿宋_GB2312" w:hint="eastAsia"/>
                      <w:spacing w:val="-6"/>
                      <w:sz w:val="28"/>
                      <w:szCs w:val="28"/>
                    </w:rPr>
                    <w:t>有香味</w:t>
                  </w:r>
                </w:p>
              </w:tc>
            </w:tr>
          </w:tbl>
          <w:p w14:paraId="0B2FB44D" w14:textId="77777777" w:rsidR="00626874" w:rsidRDefault="00626874">
            <w:pPr>
              <w:widowControl/>
              <w:jc w:val="center"/>
              <w:rPr>
                <w:rFonts w:eastAsia="仿宋"/>
                <w:kern w:val="0"/>
                <w:sz w:val="28"/>
                <w:szCs w:val="28"/>
              </w:rPr>
            </w:pPr>
          </w:p>
        </w:tc>
      </w:tr>
    </w:tbl>
    <w:p w14:paraId="5619640E" w14:textId="77777777" w:rsidR="00626874" w:rsidRDefault="00626874">
      <w:pPr>
        <w:pStyle w:val="a3"/>
        <w:adjustRightInd w:val="0"/>
        <w:snapToGrid w:val="0"/>
        <w:spacing w:line="560" w:lineRule="exact"/>
        <w:ind w:firstLineChars="0" w:firstLine="0"/>
        <w:jc w:val="left"/>
        <w:rPr>
          <w:rFonts w:ascii="Times New Roman" w:eastAsia="仿宋" w:hAnsi="Times New Roman"/>
          <w:color w:val="000000"/>
          <w:sz w:val="32"/>
          <w:szCs w:val="32"/>
        </w:rPr>
      </w:pPr>
    </w:p>
    <w:p w14:paraId="272050D1" w14:textId="77777777" w:rsidR="00626874" w:rsidRDefault="004221CC">
      <w:pPr>
        <w:widowControl/>
        <w:jc w:val="left"/>
        <w:rPr>
          <w:rFonts w:eastAsia="仿宋_GB2312"/>
          <w:b/>
          <w:bCs/>
          <w:color w:val="000000"/>
          <w:sz w:val="32"/>
          <w:szCs w:val="32"/>
        </w:rPr>
      </w:pPr>
      <w:r>
        <w:rPr>
          <w:rFonts w:eastAsia="仿宋_GB2312"/>
          <w:color w:val="000000"/>
          <w:sz w:val="28"/>
          <w:szCs w:val="28"/>
        </w:rPr>
        <w:t>【</w:t>
      </w:r>
      <w:r>
        <w:rPr>
          <w:rFonts w:eastAsia="仿宋_GB2312"/>
          <w:b/>
          <w:bCs/>
          <w:color w:val="000000"/>
          <w:sz w:val="28"/>
          <w:szCs w:val="28"/>
        </w:rPr>
        <w:t>微生物和理化指标及质量控制措施</w:t>
      </w:r>
      <w:r>
        <w:rPr>
          <w:rFonts w:eastAsia="仿宋_GB2312"/>
          <w:color w:val="000000"/>
          <w:sz w:val="28"/>
          <w:szCs w:val="28"/>
        </w:rPr>
        <w:t>】</w:t>
      </w:r>
    </w:p>
    <w:p w14:paraId="1DC932B3" w14:textId="77777777" w:rsidR="00626874" w:rsidRDefault="00626874">
      <w:pPr>
        <w:widowControl/>
        <w:jc w:val="left"/>
        <w:rPr>
          <w:rFonts w:eastAsia="仿宋_GB2312"/>
          <w:color w:val="000000"/>
          <w:sz w:val="28"/>
          <w:szCs w:val="28"/>
        </w:rPr>
      </w:pPr>
    </w:p>
    <w:tbl>
      <w:tblPr>
        <w:tblW w:w="864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26874" w14:paraId="72749156" w14:textId="77777777">
        <w:trPr>
          <w:trHeight w:val="450"/>
          <w:tblCellSpacing w:w="0" w:type="dxa"/>
          <w:jc w:val="center"/>
        </w:trPr>
        <w:tc>
          <w:tcPr>
            <w:tcW w:w="8640" w:type="dxa"/>
            <w:vAlign w:val="center"/>
          </w:tcPr>
          <w:tbl>
            <w:tblPr>
              <w:tblW w:w="0" w:type="auto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30"/>
            </w:tblGrid>
            <w:tr w:rsidR="00626874" w14:paraId="15E820FF" w14:textId="77777777">
              <w:trPr>
                <w:trHeight w:val="450"/>
                <w:tblCellSpacing w:w="0" w:type="dxa"/>
                <w:jc w:val="center"/>
              </w:trPr>
              <w:tc>
                <w:tcPr>
                  <w:tcW w:w="8630" w:type="dxa"/>
                  <w:vAlign w:val="center"/>
                </w:tcPr>
                <w:p w14:paraId="4AAACF86" w14:textId="77777777" w:rsidR="00626874" w:rsidRDefault="004221CC">
                  <w:pPr>
                    <w:widowControl/>
                    <w:jc w:val="center"/>
                    <w:rPr>
                      <w:rFonts w:eastAsia="仿宋_GB2312"/>
                      <w:color w:val="000000"/>
                      <w:sz w:val="28"/>
                      <w:szCs w:val="28"/>
                    </w:rPr>
                  </w:pPr>
                  <w:r>
                    <w:rPr>
                      <w:rFonts w:eastAsia="仿宋_GB2312"/>
                      <w:color w:val="000000"/>
                      <w:sz w:val="28"/>
                      <w:szCs w:val="28"/>
                    </w:rPr>
                    <w:t>表</w:t>
                  </w:r>
                  <w:r>
                    <w:rPr>
                      <w:rFonts w:eastAsia="仿宋_GB2312" w:hint="eastAsia"/>
                      <w:color w:val="000000"/>
                      <w:sz w:val="28"/>
                      <w:szCs w:val="28"/>
                    </w:rPr>
                    <w:t>3</w:t>
                  </w:r>
                  <w:r>
                    <w:rPr>
                      <w:rFonts w:eastAsia="仿宋_GB2312"/>
                      <w:color w:val="000000"/>
                      <w:sz w:val="28"/>
                      <w:szCs w:val="28"/>
                    </w:rPr>
                    <w:t xml:space="preserve">   </w:t>
                  </w:r>
                  <w:r>
                    <w:rPr>
                      <w:rFonts w:eastAsia="仿宋_GB2312"/>
                      <w:color w:val="000000"/>
                      <w:sz w:val="28"/>
                      <w:szCs w:val="28"/>
                    </w:rPr>
                    <w:t>微生物和理化指标及其质量控制措施</w:t>
                  </w:r>
                </w:p>
              </w:tc>
            </w:tr>
            <w:tr w:rsidR="00626874" w14:paraId="2C0E7E94" w14:textId="77777777">
              <w:trPr>
                <w:trHeight w:val="450"/>
                <w:tblCellSpacing w:w="0" w:type="dxa"/>
                <w:jc w:val="center"/>
              </w:trPr>
              <w:tc>
                <w:tcPr>
                  <w:tcW w:w="8630" w:type="dxa"/>
                  <w:vAlign w:val="center"/>
                </w:tcPr>
                <w:tbl>
                  <w:tblPr>
                    <w:tblW w:w="0" w:type="auto"/>
                    <w:tblCellSpacing w:w="0" w:type="dxa"/>
                    <w:tblInd w:w="1" w:type="dxa"/>
                    <w:tblBorders>
                      <w:top w:val="single" w:sz="6" w:space="0" w:color="000000"/>
                      <w:right w:val="single" w:sz="6" w:space="0" w:color="000000"/>
                    </w:tblBorders>
                    <w:shd w:val="clear" w:color="auto" w:fill="000000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47"/>
                    <w:gridCol w:w="1985"/>
                    <w:gridCol w:w="2267"/>
                    <w:gridCol w:w="2815"/>
                  </w:tblGrid>
                  <w:tr w:rsidR="00626874" w14:paraId="307AE041" w14:textId="77777777">
                    <w:trPr>
                      <w:trHeight w:val="448"/>
                      <w:tblCellSpacing w:w="0" w:type="dxa"/>
                    </w:trPr>
                    <w:tc>
                      <w:tcPr>
                        <w:tcW w:w="154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05469DE6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项目</w:t>
                        </w:r>
                      </w:p>
                    </w:tc>
                    <w:tc>
                      <w:tcPr>
                        <w:tcW w:w="198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01242A12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指标</w:t>
                        </w:r>
                      </w:p>
                    </w:tc>
                    <w:tc>
                      <w:tcPr>
                        <w:tcW w:w="226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636E99C7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质量管理措施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*</w:t>
                        </w:r>
                      </w:p>
                    </w:tc>
                    <w:tc>
                      <w:tcPr>
                        <w:tcW w:w="281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250E4BB3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简要说明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**</w:t>
                        </w:r>
                      </w:p>
                    </w:tc>
                  </w:tr>
                  <w:tr w:rsidR="00626874" w14:paraId="39E5AAD0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154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74F9E95D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菌落总数</w:t>
                        </w:r>
                      </w:p>
                    </w:tc>
                    <w:tc>
                      <w:tcPr>
                        <w:tcW w:w="198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327A8720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≤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500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CFU/g</w:t>
                        </w:r>
                      </w:p>
                    </w:tc>
                    <w:tc>
                      <w:tcPr>
                        <w:tcW w:w="226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219EB7A9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产品逐批检验</w:t>
                        </w:r>
                      </w:p>
                    </w:tc>
                    <w:tc>
                      <w:tcPr>
                        <w:tcW w:w="281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60F88A7C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按《化妆品安全技术规范》（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2015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年版）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“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微生物检验方法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”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进行检验</w:t>
                        </w:r>
                      </w:p>
                    </w:tc>
                  </w:tr>
                  <w:tr w:rsidR="00626874" w14:paraId="04CA38CA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154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3AD6B964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霉菌和酵母菌总数</w:t>
                        </w:r>
                      </w:p>
                    </w:tc>
                    <w:tc>
                      <w:tcPr>
                        <w:tcW w:w="198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5A930446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≤100 CFU/g</w:t>
                        </w:r>
                      </w:p>
                    </w:tc>
                    <w:tc>
                      <w:tcPr>
                        <w:tcW w:w="226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5517CE31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产品逐批检验</w:t>
                        </w:r>
                      </w:p>
                    </w:tc>
                    <w:tc>
                      <w:tcPr>
                        <w:tcW w:w="2815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FFFFFF"/>
                        <w:vAlign w:val="center"/>
                      </w:tcPr>
                      <w:p w14:paraId="0D4E02B3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按《化妆品安全技术规范》（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2015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年版）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“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微生物检验方法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”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进行检验</w:t>
                        </w:r>
                      </w:p>
                    </w:tc>
                  </w:tr>
                  <w:tr w:rsidR="00626874" w14:paraId="4B817D11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1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CF153DB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耐热大肠菌群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12AD46C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不得检出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/g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324013C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生产工艺流程管控和全项检验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（同一配方产品一年一次型式检验）</w:t>
                        </w:r>
                      </w:p>
                    </w:tc>
                    <w:tc>
                      <w:tcPr>
                        <w:tcW w:w="28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7503802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按《化妆品安全技术规范》（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2015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年版）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“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微生物检验方法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”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进行检验</w:t>
                        </w:r>
                      </w:p>
                    </w:tc>
                  </w:tr>
                  <w:tr w:rsidR="00626874" w14:paraId="0CC1631E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1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1A7D4EF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铜绿假单胞菌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EA0B3E8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不得检出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/g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622B860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生产工艺流程管控和全项检验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（同一配方产品一年一次型式检验）</w:t>
                        </w:r>
                      </w:p>
                    </w:tc>
                    <w:tc>
                      <w:tcPr>
                        <w:tcW w:w="28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D0826B3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按《化妆品安全技术规范》（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2015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年版）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“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微生物检验方法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”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进行检验</w:t>
                        </w:r>
                      </w:p>
                    </w:tc>
                  </w:tr>
                  <w:tr w:rsidR="00626874" w14:paraId="7CF8E32F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1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2043150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金黄色葡萄球菌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5E4CBD7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不得检出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/g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56CC1A8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生产工艺流程管控和全项检验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（同一配方产品一年一次型式检验）</w:t>
                        </w:r>
                      </w:p>
                    </w:tc>
                    <w:tc>
                      <w:tcPr>
                        <w:tcW w:w="28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84E3FF8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按《化妆品安全技术规范》（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2015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年版）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“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微生物检验方法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”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进行检验</w:t>
                        </w:r>
                      </w:p>
                    </w:tc>
                  </w:tr>
                  <w:tr w:rsidR="00626874" w14:paraId="49209CD6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1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33076F6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铅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550A2FF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≤10mg/kg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189CC35" w14:textId="77777777" w:rsidR="00626874" w:rsidRDefault="004221CC">
                        <w:pPr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原料相关指标控制以及全项检验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（同一配方产品一年一次型式检验）</w:t>
                        </w:r>
                      </w:p>
                    </w:tc>
                    <w:tc>
                      <w:tcPr>
                        <w:tcW w:w="28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E6BD03D" w14:textId="77777777" w:rsidR="00626874" w:rsidRDefault="004221CC">
                        <w:pPr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按《化妆品安全技术规范》（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2015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年版）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“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理化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检验方法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”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进行检验</w:t>
                        </w:r>
                      </w:p>
                    </w:tc>
                  </w:tr>
                  <w:tr w:rsidR="00626874" w14:paraId="7F5146C3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1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32D8E12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汞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05AFF13B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≤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1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mg/kg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9C609C0" w14:textId="77777777" w:rsidR="00626874" w:rsidRDefault="004221CC">
                        <w:pPr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原料相关指标控制以及全项检验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（同一配方产品一年一次型式检验）</w:t>
                        </w:r>
                      </w:p>
                    </w:tc>
                    <w:tc>
                      <w:tcPr>
                        <w:tcW w:w="28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D70E6C1" w14:textId="77777777" w:rsidR="00626874" w:rsidRDefault="004221CC">
                        <w:pPr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按《化妆品安全技术规范》（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2015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年版）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“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理化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检验方法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”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进行检验</w:t>
                        </w:r>
                      </w:p>
                    </w:tc>
                  </w:tr>
                  <w:tr w:rsidR="00626874" w14:paraId="27B9C888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1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6C14A012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砷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6E4DCED8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≤2mg/kg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A051B7F" w14:textId="77777777" w:rsidR="00626874" w:rsidRDefault="004221CC">
                        <w:pPr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原料相关指标控制以及全项检验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（同一配方产品一年一次型式检验）</w:t>
                        </w:r>
                      </w:p>
                    </w:tc>
                    <w:tc>
                      <w:tcPr>
                        <w:tcW w:w="28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0FCA7AF" w14:textId="77777777" w:rsidR="00626874" w:rsidRDefault="004221CC">
                        <w:pPr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按《化妆品安全技术规范》（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2015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年版）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“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理化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检验方法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”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进行检验</w:t>
                        </w:r>
                      </w:p>
                    </w:tc>
                  </w:tr>
                  <w:tr w:rsidR="00626874" w14:paraId="1D64EC1E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1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1D4EC8DF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镉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727CE714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≤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5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mg/kg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3CB9E2D3" w14:textId="77777777" w:rsidR="00626874" w:rsidRDefault="004221CC">
                        <w:pPr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原料相关指标控制以及全项检验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（同一配方产品一年一次型式检验）</w:t>
                        </w:r>
                      </w:p>
                    </w:tc>
                    <w:tc>
                      <w:tcPr>
                        <w:tcW w:w="28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23F9C88" w14:textId="77777777" w:rsidR="00626874" w:rsidRDefault="004221CC">
                        <w:pPr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按《化妆品安全技术规范》（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2015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年版）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“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理化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检验方法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”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进行检验</w:t>
                        </w:r>
                      </w:p>
                    </w:tc>
                  </w:tr>
                  <w:tr w:rsidR="00626874" w14:paraId="3B614B40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154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43C30527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lastRenderedPageBreak/>
                          <w:t>二噁烷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BA9833C" w14:textId="77777777" w:rsidR="00626874" w:rsidRDefault="004221CC">
                        <w:pPr>
                          <w:widowControl/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仿宋_GB2312" w:hAnsi="Arial" w:cs="Arial"/>
                            <w:color w:val="000000"/>
                            <w:sz w:val="24"/>
                          </w:rPr>
                          <w:t>≤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30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mg/kg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211C5503" w14:textId="77777777" w:rsidR="00626874" w:rsidRDefault="004221CC">
                        <w:pPr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原料相关指标控制以及全项检验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（同一配方产品一年一次型式检验）</w:t>
                        </w:r>
                      </w:p>
                    </w:tc>
                    <w:tc>
                      <w:tcPr>
                        <w:tcW w:w="281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FFFFFF"/>
                        <w:vAlign w:val="center"/>
                      </w:tcPr>
                      <w:p w14:paraId="56F6211D" w14:textId="77777777" w:rsidR="00626874" w:rsidRDefault="004221CC">
                        <w:pPr>
                          <w:jc w:val="center"/>
                          <w:rPr>
                            <w:rFonts w:eastAsia="仿宋_GB2312"/>
                            <w:color w:val="000000"/>
                            <w:sz w:val="24"/>
                          </w:rPr>
                        </w:pP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按《化妆品安全技术规范》（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2015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年版）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“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禁用组分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检验方法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”</w:t>
                        </w:r>
                        <w:r>
                          <w:rPr>
                            <w:rFonts w:eastAsia="仿宋_GB2312" w:hint="eastAsia"/>
                            <w:color w:val="000000"/>
                            <w:sz w:val="24"/>
                          </w:rPr>
                          <w:t>中“二噁烷”的检验方法</w:t>
                        </w:r>
                        <w:r>
                          <w:rPr>
                            <w:rFonts w:eastAsia="仿宋_GB2312"/>
                            <w:color w:val="000000"/>
                            <w:sz w:val="24"/>
                          </w:rPr>
                          <w:t>进行检验</w:t>
                        </w:r>
                      </w:p>
                    </w:tc>
                  </w:tr>
                </w:tbl>
                <w:p w14:paraId="1E909771" w14:textId="77777777" w:rsidR="00626874" w:rsidRDefault="00626874">
                  <w:pPr>
                    <w:widowControl/>
                    <w:jc w:val="center"/>
                    <w:rPr>
                      <w:rFonts w:eastAsia="仿宋_GB2312"/>
                      <w:color w:val="000000"/>
                      <w:sz w:val="24"/>
                    </w:rPr>
                  </w:pPr>
                </w:p>
              </w:tc>
            </w:tr>
          </w:tbl>
          <w:p w14:paraId="431AB3E8" w14:textId="77777777" w:rsidR="00626874" w:rsidRDefault="00626874">
            <w:pPr>
              <w:widowControl/>
              <w:jc w:val="center"/>
              <w:rPr>
                <w:rFonts w:eastAsia="仿宋_GB2312"/>
                <w:color w:val="000000"/>
                <w:kern w:val="0"/>
                <w:sz w:val="24"/>
              </w:rPr>
            </w:pPr>
          </w:p>
        </w:tc>
      </w:tr>
    </w:tbl>
    <w:p w14:paraId="7CF88A12" w14:textId="77777777" w:rsidR="00626874" w:rsidRDefault="00626874">
      <w:pPr>
        <w:pStyle w:val="a3"/>
        <w:adjustRightInd w:val="0"/>
        <w:snapToGrid w:val="0"/>
        <w:spacing w:line="560" w:lineRule="exact"/>
        <w:ind w:firstLineChars="0" w:firstLine="0"/>
        <w:jc w:val="left"/>
        <w:rPr>
          <w:rFonts w:eastAsia="仿宋_GB2312"/>
          <w:color w:val="000000"/>
          <w:kern w:val="0"/>
          <w:sz w:val="30"/>
          <w:szCs w:val="30"/>
        </w:rPr>
      </w:pPr>
    </w:p>
    <w:p w14:paraId="65D5E23A" w14:textId="77777777" w:rsidR="00626874" w:rsidRDefault="004221CC">
      <w:pPr>
        <w:pStyle w:val="a3"/>
        <w:adjustRightInd w:val="0"/>
        <w:snapToGrid w:val="0"/>
        <w:spacing w:line="560" w:lineRule="exact"/>
        <w:ind w:firstLineChars="0" w:firstLine="0"/>
        <w:jc w:val="left"/>
        <w:rPr>
          <w:rFonts w:ascii="Times New Roman" w:eastAsia="仿宋_GB2312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仿宋_GB2312" w:hAnsi="Times New Roman"/>
          <w:b/>
          <w:bCs/>
          <w:color w:val="000000"/>
          <w:sz w:val="28"/>
          <w:szCs w:val="28"/>
        </w:rPr>
        <w:t>【使用方法】</w:t>
      </w:r>
    </w:p>
    <w:p w14:paraId="5954B77E" w14:textId="77777777" w:rsidR="00626874" w:rsidRDefault="004221CC">
      <w:pPr>
        <w:pStyle w:val="a3"/>
        <w:adjustRightInd w:val="0"/>
        <w:snapToGrid w:val="0"/>
        <w:spacing w:line="560" w:lineRule="exact"/>
        <w:ind w:firstLineChars="0" w:firstLine="0"/>
        <w:jc w:val="left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 w:hint="eastAsia"/>
          <w:color w:val="FF0000"/>
          <w:szCs w:val="21"/>
        </w:rPr>
        <w:t>将电解质沐浴露B相和电解质沐浴露C</w:t>
      </w:r>
      <w:proofErr w:type="gramStart"/>
      <w:r>
        <w:rPr>
          <w:rFonts w:ascii="宋体" w:hAnsi="宋体" w:cs="宋体" w:hint="eastAsia"/>
          <w:color w:val="FF0000"/>
          <w:szCs w:val="21"/>
        </w:rPr>
        <w:t>相全部</w:t>
      </w:r>
      <w:proofErr w:type="gramEnd"/>
      <w:r>
        <w:rPr>
          <w:rFonts w:ascii="宋体" w:hAnsi="宋体" w:cs="宋体" w:hint="eastAsia"/>
          <w:color w:val="FF0000"/>
          <w:szCs w:val="21"/>
        </w:rPr>
        <w:t>加入到电解质沐浴露A相，轻轻摇晃均匀后使用。充分湿润身体后，取适量本品涂抹于全身，轻揉后用清水冲洗干净即可。</w:t>
      </w:r>
    </w:p>
    <w:p w14:paraId="2210303F" w14:textId="77777777" w:rsidR="00626874" w:rsidRDefault="004221CC">
      <w:pPr>
        <w:pStyle w:val="a3"/>
        <w:adjustRightInd w:val="0"/>
        <w:snapToGrid w:val="0"/>
        <w:spacing w:line="560" w:lineRule="exact"/>
        <w:ind w:firstLineChars="0" w:firstLine="0"/>
        <w:jc w:val="left"/>
        <w:rPr>
          <w:rFonts w:ascii="Times New Roman" w:eastAsia="仿宋_GB2312" w:hAnsi="Times New Roman"/>
          <w:b/>
          <w:bCs/>
          <w:color w:val="000000"/>
          <w:sz w:val="28"/>
          <w:szCs w:val="28"/>
        </w:rPr>
      </w:pPr>
      <w:r>
        <w:rPr>
          <w:rFonts w:ascii="Times New Roman" w:eastAsia="仿宋_GB2312" w:hAnsi="Times New Roman"/>
          <w:b/>
          <w:bCs/>
          <w:color w:val="000000"/>
          <w:sz w:val="28"/>
          <w:szCs w:val="28"/>
        </w:rPr>
        <w:t>【安全警示用语】</w:t>
      </w:r>
    </w:p>
    <w:p w14:paraId="6217A1B3" w14:textId="77777777" w:rsidR="00626874" w:rsidRDefault="004221CC">
      <w:pPr>
        <w:pStyle w:val="a3"/>
        <w:adjustRightInd w:val="0"/>
        <w:snapToGrid w:val="0"/>
        <w:spacing w:line="560" w:lineRule="exact"/>
        <w:ind w:firstLineChars="0" w:firstLine="0"/>
        <w:jc w:val="left"/>
        <w:rPr>
          <w:rFonts w:ascii="Times New Roman" w:eastAsia="仿宋_GB2312" w:hAnsi="Times New Roman"/>
          <w:b/>
          <w:bCs/>
          <w:sz w:val="28"/>
          <w:szCs w:val="28"/>
        </w:rPr>
      </w:pPr>
      <w:r>
        <w:rPr>
          <w:rFonts w:ascii="宋体" w:hAnsi="宋体" w:cs="宋体" w:hint="eastAsia"/>
          <w:color w:val="FF0000"/>
          <w:szCs w:val="21"/>
        </w:rPr>
        <w:t>请置于儿童不可及，干燥阴凉处保存。</w:t>
      </w:r>
      <w:r>
        <w:rPr>
          <w:rFonts w:ascii="Times New Roman" w:eastAsia="仿宋_GB2312" w:hAnsi="Times New Roman"/>
          <w:b/>
          <w:bCs/>
          <w:color w:val="000000"/>
          <w:sz w:val="28"/>
          <w:szCs w:val="28"/>
        </w:rPr>
        <w:br/>
      </w:r>
      <w:r>
        <w:rPr>
          <w:rFonts w:ascii="Times New Roman" w:eastAsia="仿宋_GB2312" w:hAnsi="Times New Roman"/>
          <w:b/>
          <w:bCs/>
          <w:sz w:val="28"/>
          <w:szCs w:val="28"/>
        </w:rPr>
        <w:t>【</w:t>
      </w:r>
      <w:r>
        <w:rPr>
          <w:rFonts w:ascii="Times New Roman" w:eastAsia="仿宋_GB2312" w:hAnsi="Times New Roman" w:hint="eastAsia"/>
          <w:b/>
          <w:bCs/>
          <w:sz w:val="28"/>
          <w:szCs w:val="28"/>
        </w:rPr>
        <w:t>注意事项</w:t>
      </w:r>
      <w:r>
        <w:rPr>
          <w:rFonts w:ascii="Times New Roman" w:eastAsia="仿宋_GB2312" w:hAnsi="Times New Roman"/>
          <w:b/>
          <w:bCs/>
          <w:sz w:val="28"/>
          <w:szCs w:val="28"/>
        </w:rPr>
        <w:t>】</w:t>
      </w:r>
    </w:p>
    <w:p w14:paraId="3FA32E70" w14:textId="77777777" w:rsidR="00626874" w:rsidRDefault="004221CC">
      <w:pPr>
        <w:pStyle w:val="a3"/>
        <w:adjustRightInd w:val="0"/>
        <w:snapToGrid w:val="0"/>
        <w:spacing w:line="560" w:lineRule="exact"/>
        <w:ind w:firstLineChars="0" w:firstLine="0"/>
        <w:jc w:val="left"/>
        <w:rPr>
          <w:rFonts w:ascii="Times New Roman" w:eastAsia="仿宋_GB2312" w:hAnsi="Times New Roman"/>
          <w:b/>
          <w:bCs/>
          <w:color w:val="000000"/>
          <w:sz w:val="28"/>
          <w:szCs w:val="28"/>
        </w:rPr>
      </w:pPr>
      <w:r>
        <w:rPr>
          <w:rFonts w:ascii="宋体" w:hAnsi="宋体" w:cs="宋体" w:hint="eastAsia"/>
          <w:color w:val="FF0000"/>
          <w:szCs w:val="21"/>
        </w:rPr>
        <w:t>外用产品，如不慎入眼，请立即用清水冲洗。</w:t>
      </w:r>
      <w:r>
        <w:rPr>
          <w:rFonts w:ascii="宋体" w:hAnsi="宋体" w:cs="宋体" w:hint="eastAsia"/>
          <w:szCs w:val="21"/>
        </w:rPr>
        <w:br/>
      </w:r>
      <w:r>
        <w:rPr>
          <w:rFonts w:ascii="Times New Roman" w:eastAsia="仿宋_GB2312" w:hAnsi="Times New Roman"/>
          <w:b/>
          <w:bCs/>
          <w:color w:val="000000"/>
          <w:sz w:val="28"/>
          <w:szCs w:val="28"/>
        </w:rPr>
        <w:t>【使用期限】</w:t>
      </w:r>
    </w:p>
    <w:p w14:paraId="7239536E" w14:textId="77777777" w:rsidR="00626874" w:rsidRDefault="004221CC">
      <w:pPr>
        <w:spacing w:beforeLines="50" w:before="156" w:afterLines="50" w:after="15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本产品成品</w:t>
      </w:r>
      <w:r>
        <w:rPr>
          <w:rFonts w:ascii="宋体" w:hAnsi="宋体" w:cs="宋体" w:hint="eastAsia"/>
          <w:color w:val="FF0000"/>
          <w:szCs w:val="21"/>
        </w:rPr>
        <w:t>保质期三年</w:t>
      </w:r>
      <w:r>
        <w:rPr>
          <w:rFonts w:ascii="宋体" w:hAnsi="宋体" w:cs="宋体" w:hint="eastAsia"/>
          <w:szCs w:val="21"/>
        </w:rPr>
        <w:t>。标注格式为：产品批号及限期使用日期见包装标注。</w:t>
      </w:r>
    </w:p>
    <w:sectPr w:rsidR="00626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6CB47" w14:textId="77777777" w:rsidR="00C252B9" w:rsidRDefault="00C252B9" w:rsidP="000D2DBE">
      <w:r>
        <w:separator/>
      </w:r>
    </w:p>
  </w:endnote>
  <w:endnote w:type="continuationSeparator" w:id="0">
    <w:p w14:paraId="43DDF756" w14:textId="77777777" w:rsidR="00C252B9" w:rsidRDefault="00C252B9" w:rsidP="000D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A3AA" w14:textId="77777777" w:rsidR="00C252B9" w:rsidRDefault="00C252B9" w:rsidP="000D2DBE">
      <w:r>
        <w:separator/>
      </w:r>
    </w:p>
  </w:footnote>
  <w:footnote w:type="continuationSeparator" w:id="0">
    <w:p w14:paraId="119E80ED" w14:textId="77777777" w:rsidR="00C252B9" w:rsidRDefault="00C252B9" w:rsidP="000D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46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D40F29"/>
    <w:multiLevelType w:val="hybridMultilevel"/>
    <w:tmpl w:val="70D883AA"/>
    <w:lvl w:ilvl="0" w:tplc="377634C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845F2"/>
    <w:multiLevelType w:val="hybridMultilevel"/>
    <w:tmpl w:val="4ACCF382"/>
    <w:lvl w:ilvl="0" w:tplc="377634C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7F1306"/>
    <w:multiLevelType w:val="hybridMultilevel"/>
    <w:tmpl w:val="0876FD34"/>
    <w:lvl w:ilvl="0" w:tplc="377634C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8868B3"/>
    <w:multiLevelType w:val="hybridMultilevel"/>
    <w:tmpl w:val="FDEE5EEE"/>
    <w:lvl w:ilvl="0" w:tplc="86443DA0">
      <w:start w:val="1"/>
      <w:numFmt w:val="decimal"/>
      <w:suff w:val="nothing"/>
      <w:lvlText w:val="%1、"/>
      <w:lvlJc w:val="left"/>
      <w:pPr>
        <w:ind w:left="397" w:hanging="397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3D056C"/>
    <w:multiLevelType w:val="hybridMultilevel"/>
    <w:tmpl w:val="72F45766"/>
    <w:lvl w:ilvl="0" w:tplc="D534D57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44BB84"/>
    <w:multiLevelType w:val="singleLevel"/>
    <w:tmpl w:val="6244BB84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2465611"/>
    <w:multiLevelType w:val="hybridMultilevel"/>
    <w:tmpl w:val="190AE008"/>
    <w:lvl w:ilvl="0" w:tplc="377634C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333F7C"/>
    <w:multiLevelType w:val="hybridMultilevel"/>
    <w:tmpl w:val="5E0A37F8"/>
    <w:lvl w:ilvl="0" w:tplc="377634C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2415950">
    <w:abstractNumId w:val="6"/>
  </w:num>
  <w:num w:numId="2" w16cid:durableId="847215736">
    <w:abstractNumId w:val="7"/>
  </w:num>
  <w:num w:numId="3" w16cid:durableId="243759819">
    <w:abstractNumId w:val="8"/>
  </w:num>
  <w:num w:numId="4" w16cid:durableId="1552108091">
    <w:abstractNumId w:val="1"/>
  </w:num>
  <w:num w:numId="5" w16cid:durableId="5832970">
    <w:abstractNumId w:val="2"/>
  </w:num>
  <w:num w:numId="6" w16cid:durableId="482897068">
    <w:abstractNumId w:val="5"/>
  </w:num>
  <w:num w:numId="7" w16cid:durableId="657610928">
    <w:abstractNumId w:val="3"/>
  </w:num>
  <w:num w:numId="8" w16cid:durableId="1381248564">
    <w:abstractNumId w:val="0"/>
  </w:num>
  <w:num w:numId="9" w16cid:durableId="1466000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18F1B71"/>
    <w:rsid w:val="00060D01"/>
    <w:rsid w:val="0007725A"/>
    <w:rsid w:val="000D1219"/>
    <w:rsid w:val="000D2DBE"/>
    <w:rsid w:val="00166F95"/>
    <w:rsid w:val="002451A0"/>
    <w:rsid w:val="00285FE4"/>
    <w:rsid w:val="002937F7"/>
    <w:rsid w:val="002B5D8B"/>
    <w:rsid w:val="00351589"/>
    <w:rsid w:val="00395D4B"/>
    <w:rsid w:val="003E323B"/>
    <w:rsid w:val="003F1189"/>
    <w:rsid w:val="004221CC"/>
    <w:rsid w:val="00445C77"/>
    <w:rsid w:val="004842B0"/>
    <w:rsid w:val="004C478E"/>
    <w:rsid w:val="00534BA2"/>
    <w:rsid w:val="0054475D"/>
    <w:rsid w:val="005A46C8"/>
    <w:rsid w:val="005A6E01"/>
    <w:rsid w:val="005B0A7B"/>
    <w:rsid w:val="00626874"/>
    <w:rsid w:val="0064085F"/>
    <w:rsid w:val="0068597B"/>
    <w:rsid w:val="006D0318"/>
    <w:rsid w:val="00703907"/>
    <w:rsid w:val="00734FB9"/>
    <w:rsid w:val="007D6736"/>
    <w:rsid w:val="007F3877"/>
    <w:rsid w:val="0084192A"/>
    <w:rsid w:val="00854515"/>
    <w:rsid w:val="00865AEE"/>
    <w:rsid w:val="00865F99"/>
    <w:rsid w:val="00902A9A"/>
    <w:rsid w:val="00905405"/>
    <w:rsid w:val="009116AF"/>
    <w:rsid w:val="009B7148"/>
    <w:rsid w:val="009C0A5C"/>
    <w:rsid w:val="00A507A8"/>
    <w:rsid w:val="00AA7612"/>
    <w:rsid w:val="00AC0EF1"/>
    <w:rsid w:val="00AC508F"/>
    <w:rsid w:val="00B320E0"/>
    <w:rsid w:val="00C252B9"/>
    <w:rsid w:val="00C43E48"/>
    <w:rsid w:val="00C51D55"/>
    <w:rsid w:val="00C6055E"/>
    <w:rsid w:val="00C708A8"/>
    <w:rsid w:val="00C96508"/>
    <w:rsid w:val="00CB064C"/>
    <w:rsid w:val="00D95A2F"/>
    <w:rsid w:val="00E84577"/>
    <w:rsid w:val="00EF6CA9"/>
    <w:rsid w:val="00F76B09"/>
    <w:rsid w:val="00FE4753"/>
    <w:rsid w:val="027C2202"/>
    <w:rsid w:val="047D5D6B"/>
    <w:rsid w:val="05942874"/>
    <w:rsid w:val="06257970"/>
    <w:rsid w:val="09021907"/>
    <w:rsid w:val="0A543E4C"/>
    <w:rsid w:val="0ABB20BC"/>
    <w:rsid w:val="0C8D203D"/>
    <w:rsid w:val="0E83009D"/>
    <w:rsid w:val="10C316D2"/>
    <w:rsid w:val="11273833"/>
    <w:rsid w:val="11E728D3"/>
    <w:rsid w:val="120C4530"/>
    <w:rsid w:val="136652B8"/>
    <w:rsid w:val="158E7EB4"/>
    <w:rsid w:val="16046E2C"/>
    <w:rsid w:val="18EC6034"/>
    <w:rsid w:val="19CA7EF0"/>
    <w:rsid w:val="1A21174F"/>
    <w:rsid w:val="1A2C276F"/>
    <w:rsid w:val="1A3A693C"/>
    <w:rsid w:val="1D273ACC"/>
    <w:rsid w:val="1E075E82"/>
    <w:rsid w:val="1E1E2DB6"/>
    <w:rsid w:val="1E633BF0"/>
    <w:rsid w:val="1F446211"/>
    <w:rsid w:val="1FBE77FE"/>
    <w:rsid w:val="20E74192"/>
    <w:rsid w:val="20F9494F"/>
    <w:rsid w:val="223753F1"/>
    <w:rsid w:val="22E14277"/>
    <w:rsid w:val="240B487F"/>
    <w:rsid w:val="241C021A"/>
    <w:rsid w:val="26CD39E1"/>
    <w:rsid w:val="26EF63C0"/>
    <w:rsid w:val="28A32E0A"/>
    <w:rsid w:val="28D070B0"/>
    <w:rsid w:val="29BC02C1"/>
    <w:rsid w:val="29E82D13"/>
    <w:rsid w:val="2B1A446B"/>
    <w:rsid w:val="2C9D3903"/>
    <w:rsid w:val="2EA81ACF"/>
    <w:rsid w:val="2F2C5D8B"/>
    <w:rsid w:val="2F447840"/>
    <w:rsid w:val="301A49F9"/>
    <w:rsid w:val="31C8107F"/>
    <w:rsid w:val="331E5FEA"/>
    <w:rsid w:val="363213B1"/>
    <w:rsid w:val="36817D92"/>
    <w:rsid w:val="3794042A"/>
    <w:rsid w:val="3B705C88"/>
    <w:rsid w:val="3B7D0D70"/>
    <w:rsid w:val="3BFD18B3"/>
    <w:rsid w:val="3D6911A4"/>
    <w:rsid w:val="3E2A1AD6"/>
    <w:rsid w:val="3F4C0015"/>
    <w:rsid w:val="400D0DE1"/>
    <w:rsid w:val="414E1842"/>
    <w:rsid w:val="43784405"/>
    <w:rsid w:val="43A37670"/>
    <w:rsid w:val="43AB6DF7"/>
    <w:rsid w:val="443F417A"/>
    <w:rsid w:val="470C0AE7"/>
    <w:rsid w:val="47A05F6C"/>
    <w:rsid w:val="47D07EF4"/>
    <w:rsid w:val="49F2723C"/>
    <w:rsid w:val="4C955CD1"/>
    <w:rsid w:val="4CA50490"/>
    <w:rsid w:val="4CC5727C"/>
    <w:rsid w:val="4D0A6FC2"/>
    <w:rsid w:val="4DC404AE"/>
    <w:rsid w:val="4DF47921"/>
    <w:rsid w:val="4E1249FF"/>
    <w:rsid w:val="4E1B66AC"/>
    <w:rsid w:val="4F093EEA"/>
    <w:rsid w:val="4F7A46EE"/>
    <w:rsid w:val="502B5150"/>
    <w:rsid w:val="50AE7B68"/>
    <w:rsid w:val="518F1B71"/>
    <w:rsid w:val="53C32195"/>
    <w:rsid w:val="53E2021C"/>
    <w:rsid w:val="54340ED1"/>
    <w:rsid w:val="574872A5"/>
    <w:rsid w:val="57EA4FFA"/>
    <w:rsid w:val="60923233"/>
    <w:rsid w:val="623B2DB0"/>
    <w:rsid w:val="6273551B"/>
    <w:rsid w:val="62BB74E9"/>
    <w:rsid w:val="633C2EDF"/>
    <w:rsid w:val="64DF4D0E"/>
    <w:rsid w:val="682527B6"/>
    <w:rsid w:val="6826323E"/>
    <w:rsid w:val="68843DFF"/>
    <w:rsid w:val="68FC6515"/>
    <w:rsid w:val="6A636316"/>
    <w:rsid w:val="6B4C3B76"/>
    <w:rsid w:val="6F962A21"/>
    <w:rsid w:val="718A44CC"/>
    <w:rsid w:val="723640F4"/>
    <w:rsid w:val="75FE55AD"/>
    <w:rsid w:val="76A12266"/>
    <w:rsid w:val="76FA36BE"/>
    <w:rsid w:val="78165B87"/>
    <w:rsid w:val="7934766D"/>
    <w:rsid w:val="7E2E1F09"/>
    <w:rsid w:val="7EB523E3"/>
    <w:rsid w:val="7FD2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3B9974"/>
  <w15:docId w15:val="{B97D9AB5-AD86-4AB1-AD4C-EEC11398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  <w:rPr>
      <w:rFonts w:ascii="Calibri" w:hAnsi="Calibri"/>
    </w:rPr>
  </w:style>
  <w:style w:type="paragraph" w:styleId="a4">
    <w:name w:val="header"/>
    <w:basedOn w:val="a"/>
    <w:link w:val="a5"/>
    <w:rsid w:val="000D2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D2DBE"/>
    <w:rPr>
      <w:kern w:val="2"/>
      <w:sz w:val="18"/>
      <w:szCs w:val="18"/>
    </w:rPr>
  </w:style>
  <w:style w:type="paragraph" w:styleId="a6">
    <w:name w:val="footer"/>
    <w:basedOn w:val="a"/>
    <w:link w:val="a7"/>
    <w:rsid w:val="000D2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D2DBE"/>
    <w:rPr>
      <w:kern w:val="2"/>
      <w:sz w:val="18"/>
      <w:szCs w:val="18"/>
    </w:rPr>
  </w:style>
  <w:style w:type="table" w:styleId="a8">
    <w:name w:val="Table Grid"/>
    <w:basedOn w:val="a1"/>
    <w:rsid w:val="00911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ubtle Emphasis"/>
    <w:basedOn w:val="a0"/>
    <w:uiPriority w:val="19"/>
    <w:qFormat/>
    <w:rsid w:val="007F387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CCCEF42-5112-403C-BECF-3E5632EB25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行若浮萍</dc:creator>
  <cp:lastModifiedBy>宣涵</cp:lastModifiedBy>
  <cp:revision>61</cp:revision>
  <dcterms:created xsi:type="dcterms:W3CDTF">2021-04-26T01:43:00Z</dcterms:created>
  <dcterms:modified xsi:type="dcterms:W3CDTF">2022-04-22T10:28:00Z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EAC0599FAB94489AA1D93E079F87EBB3</vt:lpwstr>
  </property>
</Properties>
</file>