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A4189"/>
          <w:sz w:val="52"/>
          <w:szCs w:val="52"/>
        </w:rPr>
        <w:t xml:space="preserve">深圳大学体育场地自动预约系统</w:t>
      </w:r>
    </w:p>
    <w:p>
      <w:pPr>
        <w:spacing w:after="60" w:before="60"/>
      </w:pPr>
      <w:r>
        <w:t xml:space="preserve"/>
      </w:r>
    </w:p>
    <w:p>
      <w:pPr>
        <w:jc w:val="center"/>
      </w:pPr>
      <w:r>
        <w:rPr>
          <w:rFonts w:ascii="Arial" w:cs="Arial" w:eastAsia="Arial" w:hAnsi="Arial"/>
          <w:b/>
          <w:bCs/>
          <w:color w:val="C1272D"/>
          <w:sz w:val="40"/>
          <w:szCs w:val="40"/>
        </w:rPr>
        <w:t xml:space="preserve">项目管理计划文档</w:t>
      </w:r>
    </w:p>
    <w:p>
      <w:pPr>
        <w:pBdr>
          <w:bottom w:val="single" w:color="C1272D" w:sz="6" w:space="1"/>
        </w:pBdr>
        <w:jc w:val="center"/>
      </w:pPr>
      <w:r>
        <w:rPr>
          <w:rFonts w:ascii="Arial" w:cs="Arial" w:eastAsia="Arial" w:hAnsi="Arial"/>
          <w:color w:val="888888"/>
          <w:sz w:val="20"/>
          <w:szCs w:val="20"/>
        </w:rPr>
        <w:t xml:space="preserve">Project Management Plan · Version 1.0</w:t>
      </w:r>
    </w:p>
    <w:p>
      <w:pPr>
        <w:spacing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项目名称</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深大体育场地自动预约系统</w:t>
            </w:r>
          </w:p>
        </w:tc>
        <w:tc>
          <w:tcPr>
            <w:tcW w:type="dxa" w:w="225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版本</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v1.0</w:t>
            </w:r>
          </w:p>
        </w:tc>
      </w:tr>
      <w:tr>
        <w:tc>
          <w:tcPr>
            <w:tcW w:type="dxa" w:w="225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项目经理</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待定</w:t>
            </w:r>
          </w:p>
        </w:tc>
        <w:tc>
          <w:tcPr>
            <w:tcW w:type="dxa" w:w="225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文档日期</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2024-04-20</w:t>
            </w:r>
          </w:p>
        </w:tc>
      </w:tr>
      <w:tr>
        <w:tc>
          <w:tcPr>
            <w:tcW w:type="dxa" w:w="225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预计工期</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16周</w:t>
            </w:r>
          </w:p>
        </w:tc>
        <w:tc>
          <w:tcPr>
            <w:tcW w:type="dxa" w:w="225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计划上线</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2024-08-01</w:t>
            </w:r>
          </w:p>
        </w:tc>
      </w:tr>
    </w:tbl>
    <w:p>
      <w:pPr>
        <w:spacing w:before="800"/>
      </w:pPr>
    </w:p>
    <w:p>
      <w:pPr>
        <w:jc w:val="center"/>
      </w:pPr>
      <w:r>
        <w:rPr>
          <w:rFonts w:ascii="Arial" w:cs="Arial" w:eastAsia="Arial" w:hAnsi="Arial"/>
          <w:color w:val="374151"/>
          <w:sz w:val="22"/>
          <w:szCs w:val="22"/>
        </w:rPr>
        <w:t xml:space="preserve">深圳大学信息化管理办公室</w:t>
      </w:r>
    </w:p>
    <w:p>
      <w:r>
        <w:br w:type="page"/>
      </w:r>
    </w:p>
    <w:p>
      <w:pPr>
        <w:pStyle w:val="Heading1"/>
        <w:spacing w:after="160" w:before="320"/>
      </w:pPr>
      <w:r>
        <w:rPr>
          <w:rFonts w:ascii="Arial" w:cs="Arial" w:eastAsia="Arial" w:hAnsi="Arial"/>
          <w:b/>
          <w:bCs/>
          <w:color w:val="1A4189"/>
          <w:sz w:val="32"/>
          <w:szCs w:val="32"/>
        </w:rPr>
        <w:t xml:space="preserve">1. 项目概述</w:t>
      </w:r>
    </w:p>
    <w:p>
      <w:pPr>
        <w:pStyle w:val="Heading2"/>
        <w:spacing w:after="120" w:before="240"/>
      </w:pPr>
      <w:r>
        <w:rPr>
          <w:rFonts w:ascii="Arial" w:cs="Arial" w:eastAsia="Arial" w:hAnsi="Arial"/>
          <w:b/>
          <w:bCs/>
          <w:color w:val="1A4189"/>
          <w:sz w:val="26"/>
          <w:szCs w:val="26"/>
        </w:rPr>
        <w:t xml:space="preserve">1.1 项目简介</w:t>
      </w:r>
    </w:p>
    <w:p>
      <w:pPr>
        <w:spacing w:after="80" w:before="80"/>
      </w:pPr>
      <w:r>
        <w:rPr>
          <w:rFonts w:ascii="Arial" w:cs="Arial" w:eastAsia="Arial" w:hAnsi="Arial"/>
          <w:sz w:val="22"/>
          <w:szCs w:val="22"/>
        </w:rPr>
        <w:t xml:space="preserve">本项目旨在为深圳大学在校学生及教职工提供体育场地智能预约服务，通过自动抢场核心功能解决热门时段场地竞争激烈的痛点，并通过会员订阅模式实现平台可持续运营。</w:t>
      </w:r>
    </w:p>
    <w:p>
      <w:pPr>
        <w:spacing w:after="60" w:before="60"/>
      </w:pPr>
      <w:r>
        <w:t xml:space="preserve"/>
      </w:r>
    </w:p>
    <w:p>
      <w:pPr>
        <w:pStyle w:val="Heading2"/>
        <w:spacing w:after="120" w:before="240"/>
      </w:pPr>
      <w:r>
        <w:rPr>
          <w:rFonts w:ascii="Arial" w:cs="Arial" w:eastAsia="Arial" w:hAnsi="Arial"/>
          <w:b/>
          <w:bCs/>
          <w:color w:val="1A4189"/>
          <w:sz w:val="26"/>
          <w:szCs w:val="26"/>
        </w:rPr>
        <w:t xml:space="preserve">1.2 项目范围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范围类别</w:t>
            </w:r>
          </w:p>
        </w:tc>
        <w:tc>
          <w:tcPr>
            <w:tcW w:type="dxa" w:w="3013"/>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包含内容</w:t>
            </w:r>
          </w:p>
        </w:tc>
        <w:tc>
          <w:tcPr>
            <w:tcW w:type="dxa" w:w="3013"/>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不包含内容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前端开发</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Web端5个页面（登录/场地/自动预约/记录/支付/会员）</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原生App（iOS/Android）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后端开发</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预约引擎、用户系统、会员系统、支付集成</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校方场地管理后台改造</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第三方集成</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微信/支付宝/校园卡支付、微信推送</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其他高校系统对接</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运维</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部署上线、基础监控</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高可用架构（二期）</w:t>
            </w:r>
          </w:p>
        </w:tc>
      </w:tr>
    </w:tbl>
    <w:p>
      <w:pPr>
        <w:spacing w:after="60" w:before="60"/>
      </w:pPr>
      <w:r>
        <w:t xml:space="preserve"/>
      </w:r>
    </w:p>
    <w:p>
      <w:pPr>
        <w:pStyle w:val="Heading2"/>
        <w:spacing w:after="120" w:before="240"/>
      </w:pPr>
      <w:r>
        <w:rPr>
          <w:rFonts w:ascii="Arial" w:cs="Arial" w:eastAsia="Arial" w:hAnsi="Arial"/>
          <w:b/>
          <w:bCs/>
          <w:color w:val="1A4189"/>
          <w:sz w:val="26"/>
          <w:szCs w:val="26"/>
        </w:rPr>
        <w:t xml:space="preserve">1.3 项目约束与假设</w:t>
      </w:r>
    </w:p>
    <w:p>
      <w:pPr>
        <w:pStyle w:val="ListParagraph"/>
        <w:numPr>
          <w:ilvl w:val="0"/>
          <w:numId w:val="2"/>
        </w:numPr>
        <w:spacing w:after="40" w:before="40"/>
      </w:pPr>
      <w:r>
        <w:rPr>
          <w:rFonts w:ascii="Arial" w:cs="Arial" w:eastAsia="Arial" w:hAnsi="Arial"/>
          <w:sz w:val="22"/>
          <w:szCs w:val="22"/>
        </w:rPr>
        <w:t xml:space="preserve">约束：必须对接深大现有统一身份认证系统（CAS）</w:t>
      </w:r>
    </w:p>
    <w:p>
      <w:pPr>
        <w:pStyle w:val="ListParagraph"/>
        <w:numPr>
          <w:ilvl w:val="0"/>
          <w:numId w:val="2"/>
        </w:numPr>
        <w:spacing w:after="40" w:before="40"/>
      </w:pPr>
      <w:r>
        <w:rPr>
          <w:rFonts w:ascii="Arial" w:cs="Arial" w:eastAsia="Arial" w:hAnsi="Arial"/>
          <w:sz w:val="22"/>
          <w:szCs w:val="22"/>
        </w:rPr>
        <w:t xml:space="preserve">约束：校园卡支付接口需由学校财务处提供对接文档</w:t>
      </w:r>
    </w:p>
    <w:p>
      <w:pPr>
        <w:pStyle w:val="ListParagraph"/>
        <w:numPr>
          <w:ilvl w:val="0"/>
          <w:numId w:val="2"/>
        </w:numPr>
        <w:spacing w:after="40" w:before="40"/>
      </w:pPr>
      <w:r>
        <w:rPr>
          <w:rFonts w:ascii="Arial" w:cs="Arial" w:eastAsia="Arial" w:hAnsi="Arial"/>
          <w:sz w:val="22"/>
          <w:szCs w:val="22"/>
        </w:rPr>
        <w:t xml:space="preserve">假设：微信/支付宝商户资质由运营团队提前申请就绪</w:t>
      </w:r>
    </w:p>
    <w:p>
      <w:pPr>
        <w:pStyle w:val="ListParagraph"/>
        <w:numPr>
          <w:ilvl w:val="0"/>
          <w:numId w:val="2"/>
        </w:numPr>
        <w:spacing w:after="40" w:before="40"/>
      </w:pPr>
      <w:r>
        <w:rPr>
          <w:rFonts w:ascii="Arial" w:cs="Arial" w:eastAsia="Arial" w:hAnsi="Arial"/>
          <w:sz w:val="22"/>
          <w:szCs w:val="22"/>
        </w:rPr>
        <w:t xml:space="preserve">假设：深大场地管理系统提供可用的时段查询API</w:t>
      </w:r>
    </w:p>
    <w:p>
      <w:r>
        <w:br w:type="page"/>
      </w:r>
    </w:p>
    <w:p>
      <w:pPr>
        <w:pStyle w:val="Heading1"/>
        <w:spacing w:after="160" w:before="320"/>
      </w:pPr>
      <w:r>
        <w:rPr>
          <w:rFonts w:ascii="Arial" w:cs="Arial" w:eastAsia="Arial" w:hAnsi="Arial"/>
          <w:b/>
          <w:bCs/>
          <w:color w:val="1A4189"/>
          <w:sz w:val="32"/>
          <w:szCs w:val="32"/>
        </w:rPr>
        <w:t xml:space="preserve">2. 团队架构与职责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0"/>
        <w:gridCol w:w="1800"/>
        <w:gridCol w:w="3620"/>
      </w:tblGrid>
      <w:tr>
        <w:tc>
          <w:tcPr>
            <w:tcW w:type="dxa" w:w="180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角色</w:t>
            </w:r>
          </w:p>
        </w:tc>
        <w:tc>
          <w:tcPr>
            <w:tcW w:type="dxa" w:w="18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人数</w:t>
            </w:r>
          </w:p>
        </w:tc>
        <w:tc>
          <w:tcPr>
            <w:tcW w:type="dxa" w:w="18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人员</w:t>
            </w:r>
          </w:p>
        </w:tc>
        <w:tc>
          <w:tcPr>
            <w:tcW w:type="dxa" w:w="362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核心职责</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项目经理</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待定</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整体计划、进度跟踪、风险管理、干系人沟通</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产品经理</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待定</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PRD撰写、需求评审、原型设计、验收测试</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UI/UX 设计师</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待定</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页面视觉设计、交互规范、设计走查</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前端工程师</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待定</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Web端页面开发、前端性能优化、联调测试</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后端工程师</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待定</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API开发、自动预约引擎、支付集成、数据库设计</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测试工程师</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待定</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功能测试、性能测试、安全扫描、缺陷跟踪</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运维工程师</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待定</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服务器部署、CI/CD、监控告警配置</w:t>
            </w:r>
          </w:p>
        </w:tc>
      </w:tr>
    </w:tbl>
    <w:p>
      <w:pPr>
        <w:spacing w:after="60" w:before="60"/>
      </w:pPr>
      <w:r>
        <w:t xml:space="preserve"/>
      </w:r>
    </w:p>
    <w:p>
      <w:pPr>
        <w:pStyle w:val="Heading2"/>
        <w:spacing w:after="120" w:before="240"/>
      </w:pPr>
      <w:r>
        <w:rPr>
          <w:rFonts w:ascii="Arial" w:cs="Arial" w:eastAsia="Arial" w:hAnsi="Arial"/>
          <w:b/>
          <w:bCs/>
          <w:color w:val="1A4189"/>
          <w:sz w:val="26"/>
          <w:szCs w:val="26"/>
        </w:rPr>
        <w:t xml:space="preserve">2.1 沟通计划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800"/>
        <w:gridCol w:w="1600"/>
        <w:gridCol w:w="3370"/>
      </w:tblGrid>
      <w:tr>
        <w:tc>
          <w:tcPr>
            <w:tcW w:type="dxa" w:w="225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会议类型</w:t>
            </w:r>
          </w:p>
        </w:tc>
        <w:tc>
          <w:tcPr>
            <w:tcW w:type="dxa" w:w="18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频率</w:t>
            </w:r>
          </w:p>
        </w:tc>
        <w:tc>
          <w:tcPr>
            <w:tcW w:type="dxa" w:w="16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参与人</w:t>
            </w:r>
          </w:p>
        </w:tc>
        <w:tc>
          <w:tcPr>
            <w:tcW w:type="dxa" w:w="337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产出物</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每日站会</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每天 09:30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全团队</w:t>
            </w:r>
          </w:p>
        </w:tc>
        <w:tc>
          <w:tcPr>
            <w:tcW w:type="dxa" w:w="33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昨日进展、今日计划、阻塞事项</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Sprint 评审</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每2周</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全团队+PM</w:t>
            </w:r>
          </w:p>
        </w:tc>
        <w:tc>
          <w:tcPr>
            <w:tcW w:type="dxa" w:w="33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演示成果、Sprint 回顾报告</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需求评审会</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按需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PM+开发+设计</w:t>
            </w:r>
          </w:p>
        </w:tc>
        <w:tc>
          <w:tcPr>
            <w:tcW w:type="dxa" w:w="33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需求澄清记录、设计稿</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干系人周报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每周五</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PM→校方</w:t>
            </w:r>
          </w:p>
        </w:tc>
        <w:tc>
          <w:tcPr>
            <w:tcW w:type="dxa" w:w="33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项目周报（进度/风险/下周计划）</w:t>
            </w:r>
          </w:p>
        </w:tc>
      </w:tr>
    </w:tbl>
    <w:p>
      <w:r>
        <w:br w:type="page"/>
      </w:r>
    </w:p>
    <w:p>
      <w:pPr>
        <w:pStyle w:val="Heading1"/>
        <w:spacing w:after="160" w:before="320"/>
      </w:pPr>
      <w:r>
        <w:rPr>
          <w:rFonts w:ascii="Arial" w:cs="Arial" w:eastAsia="Arial" w:hAnsi="Arial"/>
          <w:b/>
          <w:bCs/>
          <w:color w:val="1A4189"/>
          <w:sz w:val="32"/>
          <w:szCs w:val="32"/>
        </w:rPr>
        <w:t xml:space="preserve">3. 工作分解结构（WBS）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126"/>
        <w:gridCol w:w="1600"/>
      </w:tblGrid>
      <w:tr>
        <w:tc>
          <w:tcPr>
            <w:tcW w:type="dxa" w:w="9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编号</w:t>
            </w:r>
          </w:p>
        </w:tc>
        <w:tc>
          <w:tcPr>
            <w:tcW w:type="dxa" w:w="24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任务包</w:t>
            </w:r>
          </w:p>
        </w:tc>
        <w:tc>
          <w:tcPr>
            <w:tcW w:type="dxa" w:w="412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子任务</w:t>
            </w:r>
          </w:p>
        </w:tc>
        <w:tc>
          <w:tcPr>
            <w:tcW w:type="dxa" w:w="16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负责角色</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1A4189"/>
                <w:sz w:val="19"/>
                <w:szCs w:val="19"/>
              </w:rPr>
              <w:t xml:space="preserve">1.0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项目启动</w:t>
            </w:r>
          </w:p>
        </w:tc>
        <w:tc>
          <w:tcPr>
            <w:tcW w:type="dxa" w:w="41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项目章程、干系人分析、工具链搭建</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需求分析</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用户访谈（30人）、竞品分析、需求文档撰写与评审</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PM + 产品</w:t>
            </w:r>
          </w:p>
        </w:tc>
      </w:tr>
      <w:tr>
        <w:tc>
          <w:tcPr>
            <w:tcW w:type="dxa" w:w="9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1.2</w:t>
            </w:r>
          </w:p>
        </w:tc>
        <w:tc>
          <w:tcPr>
            <w:tcW w:type="dxa" w:w="2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系统设计</w:t>
            </w:r>
          </w:p>
        </w:tc>
        <w:tc>
          <w:tcPr>
            <w:tcW w:type="dxa" w:w="41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技术架构设计、数据库ER图、API接口规范</w:t>
            </w:r>
          </w:p>
        </w:tc>
        <w:tc>
          <w:tcPr>
            <w:tcW w:type="dxa" w:w="16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1A4189"/>
                <w:sz w:val="19"/>
                <w:szCs w:val="19"/>
              </w:rPr>
              <w:t xml:space="preserve">2.0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UI/UX 设计</w:t>
            </w:r>
          </w:p>
        </w:tc>
        <w:tc>
          <w:tcPr>
            <w:tcW w:type="dxa" w:w="41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信息架构、低保真原型、高保真设计稿、设计规范文档</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UI/UX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前端环境搭建</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技术选型、项目脚手架、组件库引入、CI/CD配置</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w:t>
            </w:r>
          </w:p>
        </w:tc>
      </w:tr>
      <w:tr>
        <w:tc>
          <w:tcPr>
            <w:tcW w:type="dxa" w:w="9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2.2</w:t>
            </w:r>
          </w:p>
        </w:tc>
        <w:tc>
          <w:tcPr>
            <w:tcW w:type="dxa" w:w="2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后端环境搭建</w:t>
            </w:r>
          </w:p>
        </w:tc>
        <w:tc>
          <w:tcPr>
            <w:tcW w:type="dxa" w:w="41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服务器申请、框架初始化、数据库创建、API网关配置</w:t>
            </w:r>
          </w:p>
        </w:tc>
        <w:tc>
          <w:tcPr>
            <w:tcW w:type="dxa" w:w="16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后端+运维</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1A4189"/>
                <w:sz w:val="19"/>
                <w:szCs w:val="19"/>
              </w:rPr>
              <w:t xml:space="preserve">3.0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核心功能开发</w:t>
            </w:r>
          </w:p>
        </w:tc>
        <w:tc>
          <w:tcPr>
            <w:tcW w:type="dxa" w:w="41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登录/注册模块</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学号登录、SSO对接、JWT鉴权、登录态管理</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前端+后端</w:t>
            </w:r>
          </w:p>
        </w:tc>
      </w:tr>
      <w:tr>
        <w:tc>
          <w:tcPr>
            <w:tcW w:type="dxa" w:w="9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3.2</w:t>
            </w:r>
          </w:p>
        </w:tc>
        <w:tc>
          <w:tcPr>
            <w:tcW w:type="dxa" w:w="2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场地浏览模块</w:t>
            </w:r>
          </w:p>
        </w:tc>
        <w:tc>
          <w:tcPr>
            <w:tcW w:type="dxa" w:w="41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场地列表、筛选、空余状态、时段展示、校方API对接</w:t>
            </w:r>
          </w:p>
        </w:tc>
        <w:tc>
          <w:tcPr>
            <w:tcW w:type="dxa" w:w="16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前端+后端</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手动预约模块</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预约流程、支付集成（3种方式）、预约记录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前端+后端</w:t>
            </w:r>
          </w:p>
        </w:tc>
      </w:tr>
      <w:tr>
        <w:tc>
          <w:tcPr>
            <w:tcW w:type="dxa" w:w="9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3.4</w:t>
            </w:r>
          </w:p>
        </w:tc>
        <w:tc>
          <w:tcPr>
            <w:tcW w:type="dxa" w:w="2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自动预约引擎</w:t>
            </w:r>
          </w:p>
        </w:tc>
        <w:tc>
          <w:tcPr>
            <w:tcW w:type="dxa" w:w="41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规则设置UI、调度引擎开发、放号监听、候补队列</w:t>
            </w:r>
          </w:p>
        </w:tc>
        <w:tc>
          <w:tcPr>
            <w:tcW w:type="dxa" w:w="16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后端（重点）</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会员体系</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会员页设计开发、购买流程、权益鉴权、到期提醒</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前端+后端</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1A4189"/>
                <w:sz w:val="19"/>
                <w:szCs w:val="19"/>
              </w:rPr>
              <w:t xml:space="preserve">4.0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测试阶段</w:t>
            </w:r>
          </w:p>
        </w:tc>
        <w:tc>
          <w:tcPr>
            <w:tcW w:type="dxa" w:w="41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功能测试</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全功能测试用例执行、缺陷修复、回归测试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w:t>
            </w:r>
          </w:p>
        </w:tc>
      </w:tr>
      <w:tr>
        <w:tc>
          <w:tcPr>
            <w:tcW w:type="dxa" w:w="9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4.2</w:t>
            </w:r>
          </w:p>
        </w:tc>
        <w:tc>
          <w:tcPr>
            <w:tcW w:type="dxa" w:w="2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性能/安全测试</w:t>
            </w:r>
          </w:p>
        </w:tc>
        <w:tc>
          <w:tcPr>
            <w:tcW w:type="dxa" w:w="41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500并发压测、OWASP安全扫描、支付渗透测试</w:t>
            </w:r>
          </w:p>
        </w:tc>
        <w:tc>
          <w:tcPr>
            <w:tcW w:type="dxa" w:w="16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QA+运维</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UAT用户验收</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邀请20名真实用户测试、收集反馈、最终修复</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PM+用户</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1A4189"/>
                <w:sz w:val="19"/>
                <w:szCs w:val="19"/>
              </w:rPr>
              <w:t xml:space="preserve">5.0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上线与运营</w:t>
            </w:r>
          </w:p>
        </w:tc>
        <w:tc>
          <w:tcPr>
            <w:tcW w:type="dxa" w:w="41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生产环境部署、灰度发布、监控配置、上线通告</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运维+PM</w:t>
            </w:r>
          </w:p>
        </w:tc>
      </w:tr>
    </w:tbl>
    <w:p>
      <w:r>
        <w:br w:type="page"/>
      </w:r>
    </w:p>
    <w:p>
      <w:pPr>
        <w:pStyle w:val="Heading1"/>
        <w:spacing w:after="160" w:before="320"/>
      </w:pPr>
      <w:r>
        <w:rPr>
          <w:rFonts w:ascii="Arial" w:cs="Arial" w:eastAsia="Arial" w:hAnsi="Arial"/>
          <w:b/>
          <w:bCs/>
          <w:color w:val="1A4189"/>
          <w:sz w:val="32"/>
          <w:szCs w:val="32"/>
        </w:rPr>
        <w:t xml:space="preserve">4. 项目里程碑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3000"/>
        <w:gridCol w:w="1600"/>
        <w:gridCol w:w="1600"/>
        <w:gridCol w:w="2286"/>
      </w:tblGrid>
      <w:tr>
        <w:tc>
          <w:tcPr>
            <w:tcW w:type="dxa" w:w="54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t>
            </w:r>
          </w:p>
        </w:tc>
        <w:tc>
          <w:tcPr>
            <w:tcW w:type="dxa" w:w="30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里程碑</w:t>
            </w:r>
          </w:p>
        </w:tc>
        <w:tc>
          <w:tcPr>
            <w:tcW w:type="dxa" w:w="16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计划日期</w:t>
            </w:r>
          </w:p>
        </w:tc>
        <w:tc>
          <w:tcPr>
            <w:tcW w:type="dxa" w:w="16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实际日期</w:t>
            </w:r>
          </w:p>
        </w:tc>
        <w:tc>
          <w:tcPr>
            <w:tcW w:type="dxa" w:w="228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交付物</w:t>
            </w:r>
          </w:p>
        </w:tc>
      </w:tr>
      <w:tr>
        <w:tc>
          <w:tcPr>
            <w:tcW w:type="dxa" w:w="5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M1</w:t>
            </w:r>
          </w:p>
        </w:tc>
        <w:tc>
          <w:tcPr>
            <w:tcW w:type="dxa" w:w="3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需求评审通过</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2024-04-26</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286"/>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PRD终稿</w:t>
            </w:r>
          </w:p>
        </w:tc>
      </w:tr>
      <w:tr>
        <w:tc>
          <w:tcPr>
            <w:tcW w:type="dxa" w:w="5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M2</w:t>
            </w:r>
          </w:p>
        </w:tc>
        <w:tc>
          <w:tcPr>
            <w:tcW w:type="dxa" w:w="3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设计稿评审通过</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2024-05-10</w:t>
            </w:r>
          </w:p>
        </w:tc>
        <w:tc>
          <w:tcPr>
            <w:tcW w:type="dxa" w:w="1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286"/>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全部页面高保真设计稿</w:t>
            </w:r>
          </w:p>
        </w:tc>
      </w:tr>
      <w:tr>
        <w:tc>
          <w:tcPr>
            <w:tcW w:type="dxa" w:w="5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M3</w:t>
            </w:r>
          </w:p>
        </w:tc>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前后端框架搭建完成</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2024-05-17</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28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工程脚手架、开发环境</w:t>
            </w:r>
          </w:p>
        </w:tc>
      </w:tr>
      <w:tr>
        <w:tc>
          <w:tcPr>
            <w:tcW w:type="dxa" w:w="5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M4</w:t>
            </w:r>
          </w:p>
        </w:tc>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核心功能开发完成</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2024-06-28</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28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登录/场地/预约/支付功能可运行</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自动预约引擎完成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2024-07-05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自动抢场核心引擎通过内部测试</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会员体系上线</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2024-07-12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会员购买、权益、收费全链路</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全量测试通过</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2024-07-26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测试报告、缺陷清零</w:t>
            </w:r>
          </w:p>
        </w:tc>
      </w:tr>
      <w:tr>
        <w:tc>
          <w:tcPr>
            <w:tcW w:type="dxa" w:w="5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M8</w:t>
            </w:r>
          </w:p>
        </w:tc>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正式上线</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2024-08-01</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28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生产环境稳定运行</w:t>
            </w:r>
          </w:p>
        </w:tc>
      </w:tr>
    </w:tbl>
    <w:p>
      <w:pPr>
        <w:spacing w:after="60" w:before="60"/>
      </w:pPr>
      <w:r>
        <w:t xml:space="preserve"/>
      </w:r>
    </w:p>
    <w:p>
      <w:pPr>
        <w:spacing w:after="80" w:before="80"/>
      </w:pPr>
      <w:r>
        <w:rPr>
          <w:rFonts w:ascii="Arial" w:cs="Arial" w:eastAsia="Arial" w:hAnsi="Arial"/>
          <w:b/>
          <w:bCs/>
          <w:sz w:val="22"/>
          <w:szCs w:val="22"/>
        </w:rPr>
        <w:t xml:space="preserve">图例：</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tblGrid>
      <w:tr>
        <w:tc>
          <w:tcPr>
            <w:tcW w:type="dxa" w:w="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已计划（绿色）</w:t>
            </w:r>
          </w:p>
        </w:tc>
      </w:tr>
      <w:tr>
        <w:tc>
          <w:tcPr>
            <w:tcW w:type="dxa" w:w="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进行中里程碑（橙色）</w:t>
            </w:r>
          </w:p>
        </w:tc>
      </w:tr>
      <w:tr>
        <w:tc>
          <w:tcPr>
            <w:tcW w:type="dxa" w:w="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关键发布节点（红色）</w:t>
            </w:r>
          </w:p>
        </w:tc>
      </w:tr>
    </w:tbl>
    <w:p>
      <w:r>
        <w:br w:type="page"/>
      </w:r>
    </w:p>
    <w:p>
      <w:pPr>
        <w:pStyle w:val="Heading1"/>
        <w:spacing w:after="160" w:before="320"/>
      </w:pPr>
      <w:r>
        <w:rPr>
          <w:rFonts w:ascii="Arial" w:cs="Arial" w:eastAsia="Arial" w:hAnsi="Arial"/>
          <w:b/>
          <w:bCs/>
          <w:color w:val="1A4189"/>
          <w:sz w:val="32"/>
          <w:szCs w:val="32"/>
        </w:rPr>
        <w:t xml:space="preserve">5. 项目排期（甘特图）</w:t>
      </w:r>
    </w:p>
    <w:p>
      <w:pPr>
        <w:spacing w:after="80" w:before="80"/>
      </w:pPr>
      <w:r>
        <w:rPr>
          <w:rFonts w:ascii="Arial" w:cs="Arial" w:eastAsia="Arial" w:hAnsi="Arial"/>
          <w:sz w:val="22"/>
          <w:szCs w:val="22"/>
        </w:rPr>
        <w:t xml:space="preserve">项目周期：2024年4月20日 – 2024年8月1日（16周）</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700"/>
        <w:gridCol w:w="700"/>
        <w:gridCol w:w="700"/>
        <w:gridCol w:w="700"/>
        <w:gridCol w:w="700"/>
        <w:gridCol w:w="700"/>
        <w:gridCol w:w="700"/>
        <w:gridCol w:w="700"/>
        <w:gridCol w:w="700"/>
        <w:gridCol w:w="700"/>
        <w:gridCol w:w="700"/>
        <w:gridCol w:w="700"/>
        <w:gridCol w:w="700"/>
        <w:gridCol w:w="700"/>
      </w:tblGrid>
      <w:tr>
        <w:tc>
          <w:tcPr>
            <w:tcW w:type="dxa" w:w="22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tcPr>
          <w:p>
            <w:r>
              <w:rPr>
                <w:rFonts w:ascii="Arial" w:cs="Arial" w:eastAsia="Arial" w:hAnsi="Arial"/>
                <w:b/>
                <w:bCs/>
                <w:color w:val="FFFFFF"/>
                <w:sz w:val="19"/>
                <w:szCs w:val="19"/>
              </w:rPr>
              <w:t xml:space="preserve">任务</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W1</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W2</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W3</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W4</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W5</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W6</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W7</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W8</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W9</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W10</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W11</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W12</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W13</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W14</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W15</w:t>
            </w:r>
          </w:p>
        </w:tc>
        <w:tc>
          <w:tcPr>
            <w:tcW w:type="dxa" w:w="700"/>
            <w:tcBorders>
              <w:top w:val="single" w:color="AAAAAA" w:sz="1"/>
              <w:left w:val="single" w:color="AAAAAA" w:sz="1"/>
              <w:bottom w:val="single" w:color="AAAAAA" w:sz="1"/>
              <w:right w:val="single" w:color="AAAAAA" w:sz="1"/>
            </w:tcBorders>
            <w:shd w:fill="1A4189" w:val="clear"/>
            <w:tcMar>
              <w:top w:type="dxa" w:w="100"/>
              <w:left w:type="dxa" w:w="30"/>
              <w:bottom w:type="dxa" w:w="100"/>
              <w:right w:type="dxa" w:w="30"/>
            </w:tcMar>
          </w:tcPr>
          <w:p>
            <w:pPr>
              <w:jc w:val="center"/>
            </w:pPr>
            <w:r>
              <w:rPr>
                <w:rFonts w:ascii="Arial" w:cs="Arial" w:eastAsia="Arial" w:hAnsi="Arial"/>
                <w:b/>
                <w:bCs/>
                <w:color w:val="FFFFFF"/>
                <w:sz w:val="16"/>
                <w:szCs w:val="16"/>
              </w:rPr>
              <w:t xml:space="preserve">W16</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18"/>
                <w:szCs w:val="18"/>
              </w:rPr>
              <w:t xml:space="preserve">项目启动 &amp; 需求分析</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18"/>
                <w:szCs w:val="18"/>
              </w:rPr>
              <w:t xml:space="preserve">UI/UX 设计</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18"/>
                <w:szCs w:val="18"/>
              </w:rPr>
              <w:t xml:space="preserve">环境搭建 &amp; 架构设计</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登录 &amp; 用户系统</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场地浏览模块</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手动预约 &amp; 支付</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自动预约引擎（核心）</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会员体系开发</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消息推送集成</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功能测试 &amp; 修复</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性能 &amp; 安全测试</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UAT 用户验收</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上线部署 &amp; 灰度</w:t>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tcPr>
          <w:p>
            <w:r>
              <w:rPr>
                <w:rFonts w:ascii="Arial" w:cs="Arial" w:eastAsia="Arial" w:hAnsi="Arial"/>
                <w:color w:val="FFFFFF"/>
                <w:sz w:val="18"/>
                <w:szCs w:val="18"/>
              </w:rPr>
              <w:t xml:space="preserve"/>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c>
          <w:tcPr>
            <w:tcW w:type="dxa" w:w="700"/>
            <w:tcBorders>
              <w:top w:val="single" w:color="DDDDDD" w:sz="1"/>
              <w:left w:val="single" w:color="DDDDDD" w:sz="1"/>
              <w:bottom w:val="single" w:color="DDDDDD" w:sz="1"/>
              <w:right w:val="single" w:color="DDDDDD" w:sz="1"/>
            </w:tcBorders>
            <w:shd w:fill="1A4189" w:val="clear"/>
            <w:tcMar>
              <w:top w:type="dxa" w:w="60"/>
              <w:left w:type="dxa" w:w="60"/>
              <w:bottom w:type="dxa" w:w="60"/>
              <w:right w:type="dxa" w:w="60"/>
            </w:tcMar>
          </w:tcPr>
          <w:p>
            <w:r>
              <w:rPr>
                <w:rFonts w:ascii="Arial" w:cs="Arial" w:eastAsia="Arial" w:hAnsi="Arial"/>
                <w:color w:val="1A4189"/>
                <w:sz w:val="18"/>
                <w:szCs w:val="18"/>
              </w:rPr>
              <w:t xml:space="preserve">█</w:t>
            </w:r>
          </w:p>
        </w:tc>
      </w:tr>
    </w:tbl>
    <w:p>
      <w:pPr>
        <w:spacing w:after="60" w:before="60"/>
      </w:pPr>
      <w:r>
        <w:t xml:space="preserve"/>
      </w:r>
    </w:p>
    <w:p>
      <w:pPr>
        <w:spacing w:after="80" w:before="80"/>
      </w:pPr>
      <w:r>
        <w:rPr>
          <w:rFonts w:ascii="Arial" w:cs="Arial" w:eastAsia="Arial" w:hAnsi="Arial"/>
          <w:color w:val="555555"/>
          <w:sz w:val="22"/>
          <w:szCs w:val="22"/>
        </w:rPr>
        <w:t xml:space="preserve">注：深色块（█）表示该周为该任务活跃周期。自动预约引擎为关键路径，共4周，需重点关注。</w:t>
      </w:r>
    </w:p>
    <w:p>
      <w:r>
        <w:br w:type="page"/>
      </w:r>
    </w:p>
    <w:p>
      <w:pPr>
        <w:pStyle w:val="Heading1"/>
        <w:spacing w:after="160" w:before="320"/>
      </w:pPr>
      <w:r>
        <w:rPr>
          <w:rFonts w:ascii="Arial" w:cs="Arial" w:eastAsia="Arial" w:hAnsi="Arial"/>
          <w:b/>
          <w:bCs/>
          <w:color w:val="1A4189"/>
          <w:sz w:val="32"/>
          <w:szCs w:val="32"/>
        </w:rPr>
        <w:t xml:space="preserve">6. 风险管理</w:t>
      </w:r>
    </w:p>
    <w:p>
      <w:pPr>
        <w:pStyle w:val="Heading2"/>
        <w:spacing w:after="120" w:before="240"/>
      </w:pPr>
      <w:r>
        <w:rPr>
          <w:rFonts w:ascii="Arial" w:cs="Arial" w:eastAsia="Arial" w:hAnsi="Arial"/>
          <w:b/>
          <w:bCs/>
          <w:color w:val="1A4189"/>
          <w:sz w:val="26"/>
          <w:szCs w:val="26"/>
        </w:rPr>
        <w:t xml:space="preserve">6.1 风险登记册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700"/>
        <w:gridCol w:w="700"/>
        <w:gridCol w:w="2426"/>
        <w:gridCol w:w="2500"/>
      </w:tblGrid>
      <w:tr>
        <w:tc>
          <w:tcPr>
            <w:tcW w:type="dxa" w:w="3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ID</w:t>
            </w:r>
          </w:p>
        </w:tc>
        <w:tc>
          <w:tcPr>
            <w:tcW w:type="dxa" w:w="24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风险描述</w:t>
            </w:r>
          </w:p>
        </w:tc>
        <w:tc>
          <w:tcPr>
            <w:tcW w:type="dxa" w:w="7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可能性</w:t>
            </w:r>
          </w:p>
        </w:tc>
        <w:tc>
          <w:tcPr>
            <w:tcW w:type="dxa" w:w="7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影响</w:t>
            </w:r>
          </w:p>
        </w:tc>
        <w:tc>
          <w:tcPr>
            <w:tcW w:type="dxa" w:w="242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应对措施</w:t>
            </w:r>
          </w:p>
        </w:tc>
        <w:tc>
          <w:tcPr>
            <w:tcW w:type="dxa" w:w="25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负责人</w:t>
            </w:r>
          </w:p>
        </w:tc>
      </w:tr>
      <w:tr>
        <w:tc>
          <w:tcPr>
            <w:tcW w:type="dxa" w:w="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R1</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校方场地API接口不稳定或文档不全，导致数据对接延期</w:t>
            </w:r>
          </w:p>
        </w:tc>
        <w:tc>
          <w:tcPr>
            <w:tcW w:type="dxa" w:w="7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高</w:t>
            </w:r>
          </w:p>
        </w:tc>
        <w:tc>
          <w:tcPr>
            <w:tcW w:type="dxa" w:w="7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高</w:t>
            </w:r>
          </w:p>
        </w:tc>
        <w:tc>
          <w:tcPr>
            <w:tcW w:type="dxa" w:w="24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提前2周启动API联调；准备Mock数据方案作为备选</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后端负责人 + PM 对接校方</w:t>
            </w:r>
          </w:p>
        </w:tc>
      </w:tr>
      <w:tr>
        <w:tc>
          <w:tcPr>
            <w:tcW w:type="dxa" w:w="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R2</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微信/支付宝商户资质审批周期过长，支付模块延期</w:t>
            </w:r>
          </w:p>
        </w:tc>
        <w:tc>
          <w:tcPr>
            <w:tcW w:type="dxa" w:w="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中</w:t>
            </w:r>
          </w:p>
        </w:tc>
        <w:tc>
          <w:tcPr>
            <w:tcW w:type="dxa" w:w="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高</w:t>
            </w:r>
          </w:p>
        </w:tc>
        <w:tc>
          <w:tcPr>
            <w:tcW w:type="dxa" w:w="242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项目启动同步申请商户资质；早期用校园卡支付先行上线</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运营负责人</w:t>
            </w:r>
          </w:p>
        </w:tc>
      </w:tr>
      <w:tr>
        <w:tc>
          <w:tcPr>
            <w:tcW w:type="dxa" w:w="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R3</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自动抢场引擎并发性能不达标（热门时段大量用户同时触发）</w:t>
            </w:r>
          </w:p>
        </w:tc>
        <w:tc>
          <w:tcPr>
            <w:tcW w:type="dxa" w:w="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中</w:t>
            </w:r>
          </w:p>
        </w:tc>
        <w:tc>
          <w:tcPr>
            <w:tcW w:type="dxa" w:w="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高</w:t>
            </w:r>
          </w:p>
        </w:tc>
        <w:tc>
          <w:tcPr>
            <w:tcW w:type="dxa" w:w="242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早期压力测试（W10开始）；引入消息队列（Redis）做请求削峰</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后端负责人</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关键开发人员离职或病假，导致进度延迟</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低</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中</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核心模块知识双人覆盖；文档和代码注释规范化</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项目经理</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会员收费机制受学生抵制，导致付费转化率低</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中</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中</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充分提供免费体验次数；做好引导文案；参考竞品定价</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产品经理 + 运营</w:t>
            </w:r>
          </w:p>
        </w:tc>
      </w:tr>
      <w:tr>
        <w:tc>
          <w:tcPr>
            <w:tcW w:type="dxa" w:w="3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R6</w:t>
            </w:r>
          </w:p>
        </w:tc>
        <w:tc>
          <w:tcPr>
            <w:tcW w:type="dxa" w:w="2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用户数据泄露或支付安全漏洞</w:t>
            </w:r>
          </w:p>
        </w:tc>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低</w:t>
            </w:r>
          </w:p>
        </w:tc>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极高</w:t>
            </w:r>
          </w:p>
        </w:tc>
        <w:tc>
          <w:tcPr>
            <w:tcW w:type="dxa" w:w="2426"/>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上线前专项安全测试；数据脱敏；支付走官方SDK</w:t>
            </w:r>
          </w:p>
        </w:tc>
        <w:tc>
          <w:tcPr>
            <w:tcW w:type="dxa" w:w="2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 运维</w:t>
            </w:r>
          </w:p>
        </w:tc>
      </w:tr>
    </w:tbl>
    <w:p>
      <w:pPr>
        <w:spacing w:after="60" w:before="60"/>
      </w:pPr>
      <w:r>
        <w:t xml:space="preserve"/>
      </w:r>
    </w:p>
    <w:p>
      <w:pPr>
        <w:pStyle w:val="Heading2"/>
        <w:spacing w:after="120" w:before="240"/>
      </w:pPr>
      <w:r>
        <w:rPr>
          <w:rFonts w:ascii="Arial" w:cs="Arial" w:eastAsia="Arial" w:hAnsi="Arial"/>
          <w:b/>
          <w:bCs/>
          <w:color w:val="1A4189"/>
          <w:sz w:val="26"/>
          <w:szCs w:val="26"/>
        </w:rPr>
        <w:t xml:space="preserve">6.2 风险矩阵</w:t>
      </w:r>
    </w:p>
    <w:p>
      <w:pPr>
        <w:spacing w:after="80" w:before="80"/>
      </w:pPr>
      <w:r>
        <w:rPr>
          <w:rFonts w:ascii="Arial" w:cs="Arial" w:eastAsia="Arial" w:hAnsi="Arial"/>
          <w:sz w:val="22"/>
          <w:szCs w:val="22"/>
        </w:rPr>
        <w:t xml:space="preserve">可能性×影响评分：高=3分，中=2分，低=1分。优先级 = 可能性 × 影响。</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tblGrid>
      <w:tr>
        <w:tc>
          <w:tcPr>
            <w:tcW w:type="dxa" w:w="12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w:r>
          </w:p>
        </w:tc>
        <w:tc>
          <w:tcPr>
            <w:tcW w:type="dxa" w:w="14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影响：低</w:t>
            </w:r>
          </w:p>
        </w:tc>
        <w:tc>
          <w:tcPr>
            <w:tcW w:type="dxa" w:w="14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影响：中</w:t>
            </w:r>
          </w:p>
        </w:tc>
        <w:tc>
          <w:tcPr>
            <w:tcW w:type="dxa" w:w="14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影响：高</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可能性：高</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9 ← R1</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可能性：中</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 ← R5</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 ← R2,R3</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可能性：低</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 ← R4</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 ← R6</w:t>
            </w:r>
          </w:p>
        </w:tc>
      </w:tr>
    </w:tbl>
    <w:p>
      <w:r>
        <w:br w:type="page"/>
      </w:r>
    </w:p>
    <w:p>
      <w:pPr>
        <w:pStyle w:val="Heading1"/>
        <w:spacing w:after="160" w:before="320"/>
      </w:pPr>
      <w:r>
        <w:rPr>
          <w:rFonts w:ascii="Arial" w:cs="Arial" w:eastAsia="Arial" w:hAnsi="Arial"/>
          <w:b/>
          <w:bCs/>
          <w:color w:val="1A4189"/>
          <w:sz w:val="32"/>
          <w:szCs w:val="32"/>
        </w:rPr>
        <w:t xml:space="preserve">7. 资源与预算估算</w:t>
      </w:r>
    </w:p>
    <w:p>
      <w:pPr>
        <w:pStyle w:val="Heading2"/>
        <w:spacing w:after="120" w:before="240"/>
      </w:pPr>
      <w:r>
        <w:rPr>
          <w:rFonts w:ascii="Arial" w:cs="Arial" w:eastAsia="Arial" w:hAnsi="Arial"/>
          <w:b/>
          <w:bCs/>
          <w:color w:val="1A4189"/>
          <w:sz w:val="26"/>
          <w:szCs w:val="26"/>
        </w:rPr>
        <w:t xml:space="preserve">7.1 人力资源估算（16周）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600"/>
        <w:gridCol w:w="2826"/>
      </w:tblGrid>
      <w:tr>
        <w:tc>
          <w:tcPr>
            <w:tcW w:type="dxa" w:w="20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角色</w:t>
            </w:r>
          </w:p>
        </w:tc>
        <w:tc>
          <w:tcPr>
            <w:tcW w:type="dxa" w:w="14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人数</w:t>
            </w:r>
          </w:p>
        </w:tc>
        <w:tc>
          <w:tcPr>
            <w:tcW w:type="dxa" w:w="12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工时/周</w:t>
            </w:r>
          </w:p>
        </w:tc>
        <w:tc>
          <w:tcPr>
            <w:tcW w:type="dxa" w:w="16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参与周数</w:t>
            </w:r>
          </w:p>
        </w:tc>
        <w:tc>
          <w:tcPr>
            <w:tcW w:type="dxa" w:w="282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预计总工时</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项目经理</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20h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16</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320h</w:t>
            </w:r>
          </w:p>
        </w:tc>
      </w:tr>
      <w:tr>
        <w:tc>
          <w:tcPr>
            <w:tcW w:type="dxa" w:w="20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产品经理</w:t>
            </w:r>
          </w:p>
        </w:tc>
        <w:tc>
          <w:tcPr>
            <w:tcW w:type="dxa" w:w="1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12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40h</w:t>
            </w:r>
          </w:p>
        </w:tc>
        <w:tc>
          <w:tcPr>
            <w:tcW w:type="dxa" w:w="16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w:t>
            </w:r>
          </w:p>
        </w:tc>
        <w:tc>
          <w:tcPr>
            <w:tcW w:type="dxa" w:w="28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320h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UI/UX 设计师</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40h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240h</w:t>
            </w:r>
          </w:p>
        </w:tc>
      </w:tr>
      <w:tr>
        <w:tc>
          <w:tcPr>
            <w:tcW w:type="dxa" w:w="20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前端工程师×2</w:t>
            </w:r>
          </w:p>
        </w:tc>
        <w:tc>
          <w:tcPr>
            <w:tcW w:type="dxa" w:w="1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2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40h</w:t>
            </w:r>
          </w:p>
        </w:tc>
        <w:tc>
          <w:tcPr>
            <w:tcW w:type="dxa" w:w="16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12</w:t>
            </w:r>
          </w:p>
        </w:tc>
        <w:tc>
          <w:tcPr>
            <w:tcW w:type="dxa" w:w="28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960h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后端工程师×2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40h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14</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1,120h</w:t>
            </w:r>
          </w:p>
        </w:tc>
      </w:tr>
      <w:tr>
        <w:tc>
          <w:tcPr>
            <w:tcW w:type="dxa" w:w="20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测试工程师</w:t>
            </w:r>
          </w:p>
        </w:tc>
        <w:tc>
          <w:tcPr>
            <w:tcW w:type="dxa" w:w="1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12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40h</w:t>
            </w:r>
          </w:p>
        </w:tc>
        <w:tc>
          <w:tcPr>
            <w:tcW w:type="dxa" w:w="16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w:t>
            </w:r>
          </w:p>
        </w:tc>
        <w:tc>
          <w:tcPr>
            <w:tcW w:type="dxa" w:w="28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240h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运维工程师</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20h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160h</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合计</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9</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c>
          <w:tcPr>
            <w:tcW w:type="dxa" w:w="28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1A4189"/>
                <w:sz w:val="19"/>
                <w:szCs w:val="19"/>
              </w:rPr>
              <w:t xml:space="preserve">3,360h</w:t>
            </w:r>
          </w:p>
        </w:tc>
      </w:tr>
    </w:tbl>
    <w:p>
      <w:pPr>
        <w:spacing w:after="60" w:before="60"/>
      </w:pPr>
      <w:r>
        <w:t xml:space="preserve"/>
      </w:r>
    </w:p>
    <w:p>
      <w:pPr>
        <w:pStyle w:val="Heading2"/>
        <w:spacing w:after="120" w:before="240"/>
      </w:pPr>
      <w:r>
        <w:rPr>
          <w:rFonts w:ascii="Arial" w:cs="Arial" w:eastAsia="Arial" w:hAnsi="Arial"/>
          <w:b/>
          <w:bCs/>
          <w:color w:val="1A4189"/>
          <w:sz w:val="26"/>
          <w:szCs w:val="26"/>
        </w:rPr>
        <w:t xml:space="preserve">7.2 基础设施费用估算（年化）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800"/>
        <w:gridCol w:w="1800"/>
        <w:gridCol w:w="2400"/>
      </w:tblGrid>
      <w:tr>
        <w:tc>
          <w:tcPr>
            <w:tcW w:type="dxa" w:w="302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费用项</w:t>
            </w:r>
          </w:p>
        </w:tc>
        <w:tc>
          <w:tcPr>
            <w:tcW w:type="dxa" w:w="18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单价/月</w:t>
            </w:r>
          </w:p>
        </w:tc>
        <w:tc>
          <w:tcPr>
            <w:tcW w:type="dxa" w:w="18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数量</w:t>
            </w:r>
          </w:p>
        </w:tc>
        <w:tc>
          <w:tcPr>
            <w:tcW w:type="dxa" w:w="2400"/>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年化估算</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云服务器（ECS 4核8G×2）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¥800/台</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2台</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¥19,200/年</w:t>
            </w:r>
          </w:p>
        </w:tc>
      </w:tr>
      <w:tr>
        <w:tc>
          <w:tcPr>
            <w:tcW w:type="dxa" w:w="30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云数据库（RDS MySQL）</w:t>
            </w:r>
          </w:p>
        </w:tc>
        <w:tc>
          <w:tcPr>
            <w:tcW w:type="dxa" w:w="18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¥600/月</w:t>
            </w:r>
          </w:p>
        </w:tc>
        <w:tc>
          <w:tcPr>
            <w:tcW w:type="dxa" w:w="18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1实例</w:t>
            </w:r>
          </w:p>
        </w:tc>
        <w:tc>
          <w:tcPr>
            <w:tcW w:type="dxa" w:w="2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¥7,200/年</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Redis 缓存</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¥200/月</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1实例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¥2,400/年</w:t>
            </w:r>
          </w:p>
        </w:tc>
      </w:tr>
      <w:tr>
        <w:tc>
          <w:tcPr>
            <w:tcW w:type="dxa" w:w="30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CDN &amp; OSS 存储</w:t>
            </w:r>
          </w:p>
        </w:tc>
        <w:tc>
          <w:tcPr>
            <w:tcW w:type="dxa" w:w="18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¥300/月</w:t>
            </w:r>
          </w:p>
        </w:tc>
        <w:tc>
          <w:tcPr>
            <w:tcW w:type="dxa" w:w="18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¥3,600/年</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域名 &amp; SSL证书</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¥500/年</w:t>
            </w:r>
          </w:p>
        </w:tc>
      </w:tr>
      <w:tr>
        <w:tc>
          <w:tcPr>
            <w:tcW w:type="dxa" w:w="302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短信/微信推送费用</w:t>
            </w:r>
          </w:p>
        </w:tc>
        <w:tc>
          <w:tcPr>
            <w:tcW w:type="dxa" w:w="18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约¥0.05/条</w:t>
            </w:r>
          </w:p>
        </w:tc>
        <w:tc>
          <w:tcPr>
            <w:tcW w:type="dxa" w:w="18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预计5万条/月</w:t>
            </w:r>
          </w:p>
        </w:tc>
        <w:tc>
          <w:tcPr>
            <w:tcW w:type="dxa" w:w="2400"/>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¥30,000/年</w:t>
            </w:r>
          </w:p>
        </w:tc>
      </w:tr>
      <w:tr>
        <w:tc>
          <w:tcPr>
            <w:tcW w:type="dxa" w:w="30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合计基础设施</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bCs/>
                <w:color w:val="C1272D"/>
                <w:sz w:val="19"/>
                <w:szCs w:val="19"/>
              </w:rPr>
              <w:t xml:space="preserve">≈ ¥62,900/年</w:t>
            </w:r>
          </w:p>
        </w:tc>
      </w:tr>
    </w:tbl>
    <w:p>
      <w:pPr>
        <w:spacing w:after="60" w:before="60"/>
      </w:pPr>
      <w:r>
        <w:t xml:space="preserve"/>
      </w:r>
    </w:p>
    <w:p>
      <w:pPr>
        <w:pStyle w:val="Heading2"/>
        <w:spacing w:after="120" w:before="240"/>
      </w:pPr>
      <w:r>
        <w:rPr>
          <w:rFonts w:ascii="Arial" w:cs="Arial" w:eastAsia="Arial" w:hAnsi="Arial"/>
          <w:b/>
          <w:bCs/>
          <w:color w:val="1A4189"/>
          <w:sz w:val="26"/>
          <w:szCs w:val="26"/>
        </w:rPr>
        <w:t xml:space="preserve">7.3 盈亏平衡分析</w:t>
      </w:r>
    </w:p>
    <w:p>
      <w:pPr>
        <w:spacing w:after="80" w:before="80"/>
      </w:pPr>
      <w:r>
        <w:rPr>
          <w:rFonts w:ascii="Arial" w:cs="Arial" w:eastAsia="Arial" w:hAnsi="Arial"/>
          <w:sz w:val="22"/>
          <w:szCs w:val="22"/>
        </w:rPr>
        <w:t xml:space="preserve">基础设施年成本约 ¥6.3万元。若运动会员均价按季卡 ¥29/季计算（年化约¥96/年），则需至少 656 名付费会员即可覆盖基础设施成本。深大在校学生约4万人，目标渗透率 1.6% 即可盈亏平衡，可行性较高。</w:t>
      </w:r>
    </w:p>
    <w:p>
      <w:r>
        <w:br w:type="page"/>
      </w:r>
    </w:p>
    <w:p>
      <w:pPr>
        <w:pStyle w:val="Heading1"/>
        <w:spacing w:after="160" w:before="320"/>
      </w:pPr>
      <w:r>
        <w:rPr>
          <w:rFonts w:ascii="Arial" w:cs="Arial" w:eastAsia="Arial" w:hAnsi="Arial"/>
          <w:b/>
          <w:bCs/>
          <w:color w:val="1A4189"/>
          <w:sz w:val="32"/>
          <w:szCs w:val="32"/>
        </w:rPr>
        <w:t xml:space="preserve">8. 质量管理计划</w:t>
      </w:r>
    </w:p>
    <w:p>
      <w:pPr>
        <w:pStyle w:val="Heading2"/>
        <w:spacing w:after="120" w:before="240"/>
      </w:pPr>
      <w:r>
        <w:rPr>
          <w:rFonts w:ascii="Arial" w:cs="Arial" w:eastAsia="Arial" w:hAnsi="Arial"/>
          <w:b/>
          <w:bCs/>
          <w:color w:val="1A4189"/>
          <w:sz w:val="26"/>
          <w:szCs w:val="26"/>
        </w:rPr>
        <w:t xml:space="preserve">8.1 代码质量管控</w:t>
      </w:r>
    </w:p>
    <w:p>
      <w:pPr>
        <w:pStyle w:val="ListParagraph"/>
        <w:numPr>
          <w:ilvl w:val="0"/>
          <w:numId w:val="2"/>
        </w:numPr>
        <w:spacing w:after="40" w:before="40"/>
      </w:pPr>
      <w:r>
        <w:rPr>
          <w:rFonts w:ascii="Arial" w:cs="Arial" w:eastAsia="Arial" w:hAnsi="Arial"/>
          <w:sz w:val="22"/>
          <w:szCs w:val="22"/>
        </w:rPr>
        <w:t xml:space="preserve">代码评审：所有 PR 必须经至少1名同组成员 Review 后合并</w:t>
      </w:r>
    </w:p>
    <w:p>
      <w:pPr>
        <w:pStyle w:val="ListParagraph"/>
        <w:numPr>
          <w:ilvl w:val="0"/>
          <w:numId w:val="2"/>
        </w:numPr>
        <w:spacing w:after="40" w:before="40"/>
      </w:pPr>
      <w:r>
        <w:rPr>
          <w:rFonts w:ascii="Arial" w:cs="Arial" w:eastAsia="Arial" w:hAnsi="Arial"/>
          <w:sz w:val="22"/>
          <w:szCs w:val="22"/>
        </w:rPr>
        <w:t xml:space="preserve">自动化测试：前端单元测试覆盖率 ≥ 80%；后端接口测试覆盖率 ≥ 90%</w:t>
      </w:r>
    </w:p>
    <w:p>
      <w:pPr>
        <w:pStyle w:val="ListParagraph"/>
        <w:numPr>
          <w:ilvl w:val="0"/>
          <w:numId w:val="2"/>
        </w:numPr>
        <w:spacing w:after="40" w:before="40"/>
      </w:pPr>
      <w:r>
        <w:rPr>
          <w:rFonts w:ascii="Arial" w:cs="Arial" w:eastAsia="Arial" w:hAnsi="Arial"/>
          <w:sz w:val="22"/>
          <w:szCs w:val="22"/>
        </w:rPr>
        <w:t xml:space="preserve">代码规范：前端 ESLint + Prettier；后端使用统一 checkstyle</w:t>
      </w:r>
    </w:p>
    <w:p>
      <w:pPr>
        <w:pStyle w:val="ListParagraph"/>
        <w:numPr>
          <w:ilvl w:val="0"/>
          <w:numId w:val="2"/>
        </w:numPr>
        <w:spacing w:after="40" w:before="40"/>
      </w:pPr>
      <w:r>
        <w:rPr>
          <w:rFonts w:ascii="Arial" w:cs="Arial" w:eastAsia="Arial" w:hAnsi="Arial"/>
          <w:sz w:val="22"/>
          <w:szCs w:val="22"/>
        </w:rPr>
        <w:t xml:space="preserve">SonarQube 静态分析：每次构建触发，严重问题数 = 0 才可合并</w:t>
      </w:r>
    </w:p>
    <w:p>
      <w:pPr>
        <w:spacing w:after="60" w:before="60"/>
      </w:pPr>
      <w:r>
        <w:t xml:space="preserve"/>
      </w:r>
    </w:p>
    <w:p>
      <w:pPr>
        <w:pStyle w:val="Heading2"/>
        <w:spacing w:after="120" w:before="240"/>
      </w:pPr>
      <w:r>
        <w:rPr>
          <w:rFonts w:ascii="Arial" w:cs="Arial" w:eastAsia="Arial" w:hAnsi="Arial"/>
          <w:b/>
          <w:bCs/>
          <w:color w:val="1A4189"/>
          <w:sz w:val="26"/>
          <w:szCs w:val="26"/>
        </w:rPr>
        <w:t xml:space="preserve">8.2 测试策略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测试类型</w:t>
            </w:r>
          </w:p>
        </w:tc>
        <w:tc>
          <w:tcPr>
            <w:tcW w:type="dxa" w:w="225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工具</w:t>
            </w:r>
          </w:p>
        </w:tc>
        <w:tc>
          <w:tcPr>
            <w:tcW w:type="dxa" w:w="2256"/>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执行时机</w:t>
            </w:r>
          </w:p>
        </w:tc>
        <w:tc>
          <w:tcPr>
            <w:tcW w:type="dxa" w:w="2258"/>
            <w:tcBorders>
              <w:top w:val="single" w:color="AAAAAA" w:sz="1"/>
              <w:left w:val="single" w:color="AAAAAA" w:sz="1"/>
              <w:bottom w:val="single" w:color="AAAAAA" w:sz="1"/>
              <w:right w:val="single" w:color="AAAAAA" w:sz="1"/>
            </w:tcBorders>
            <w:shd w:fill="1A418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通过标准</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单元测试</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Jest / JUnit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每次提交</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覆盖率 ≥ 80%</w:t>
            </w:r>
          </w:p>
        </w:tc>
      </w:tr>
      <w:tr>
        <w:tc>
          <w:tcPr>
            <w:tcW w:type="dxa" w:w="225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接口测试</w:t>
            </w:r>
          </w:p>
        </w:tc>
        <w:tc>
          <w:tcPr>
            <w:tcW w:type="dxa" w:w="225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Postman / Newman</w:t>
            </w:r>
          </w:p>
        </w:tc>
        <w:tc>
          <w:tcPr>
            <w:tcW w:type="dxa" w:w="225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每次构建</w:t>
            </w:r>
          </w:p>
        </w:tc>
        <w:tc>
          <w:tcPr>
            <w:tcW w:type="dxa" w:w="2258"/>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全部用例通过</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E2E 功能测试</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Playwright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每个Sprint结束</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核心流程无阻断Bug</w:t>
            </w:r>
          </w:p>
        </w:tc>
      </w:tr>
      <w:tr>
        <w:tc>
          <w:tcPr>
            <w:tcW w:type="dxa" w:w="225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性能测试</w:t>
            </w:r>
          </w:p>
        </w:tc>
        <w:tc>
          <w:tcPr>
            <w:tcW w:type="dxa" w:w="225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JMeter / k6</w:t>
            </w:r>
          </w:p>
        </w:tc>
        <w:tc>
          <w:tcPr>
            <w:tcW w:type="dxa" w:w="2256"/>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M7前</w:t>
            </w:r>
          </w:p>
        </w:tc>
        <w:tc>
          <w:tcPr>
            <w:tcW w:type="dxa" w:w="2258"/>
            <w:tcBorders>
              <w:top w:val="single" w:color="CCCCCC" w:sz="1"/>
              <w:left w:val="single" w:color="CCCCCC" w:sz="1"/>
              <w:bottom w:val="single" w:color="CCCCCC" w:sz="1"/>
              <w:right w:val="single" w:color="CCCCCC" w:sz="1"/>
            </w:tcBorders>
            <w:shd w:fill="F4F5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500并发P99 &lt; 2s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安全测试</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OWASP ZAP</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上线前</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无高危/严重漏洞</w:t>
            </w:r>
          </w:p>
        </w:tc>
      </w:tr>
    </w:tbl>
    <w:p>
      <w:pPr>
        <w:spacing w:after="60" w:before="6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189" w:sz="4" w:space="1"/>
      </w:pBdr>
      <w:jc w:val="center"/>
    </w:pPr>
    <w:r>
      <w:rPr>
        <w:rFonts w:ascii="Arial" w:cs="Arial" w:eastAsia="Arial" w:hAnsi="Arial"/>
        <w:color w:val="888888"/>
        <w:sz w:val="18"/>
        <w:szCs w:val="18"/>
      </w:rPr>
      <w:t xml:space="preserve">第 </w:t>
    </w:r>
    <w:r>
      <w:rPr>
        <w:rFonts w:ascii="Arial" w:cs="Arial" w:eastAsia="Arial" w:hAnsi="Arial"/>
        <w:color w:val="1A4189"/>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  |  机密  |  © 深圳大学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189" w:sz="4" w:space="1"/>
      </w:pBdr>
      <w:tabs>
        <w:tab w:val="right" w:pos="9026"/>
      </w:tabs>
    </w:pPr>
    <w:r>
      <w:rPr>
        <w:rFonts w:ascii="Arial" w:cs="Arial" w:eastAsia="Arial" w:hAnsi="Arial"/>
        <w:color w:val="1A4189"/>
        <w:sz w:val="18"/>
        <w:szCs w:val="18"/>
      </w:rPr>
      <w:t xml:space="preserve">深圳大学体育场地自动预约系统 · 项目管理计划</w:t>
    </w:r>
    <w:r>
      <w:rPr>
        <w:sz w:val="18"/>
        <w:szCs w:val="18"/>
      </w:rPr>
      <w:t xml:space="preserve">	</w:t>
    </w:r>
    <w:r>
      <w:rPr>
        <w:rFonts w:ascii="Arial" w:cs="Arial" w:eastAsia="Arial" w:hAnsi="Arial"/>
        <w:color w:val="888888"/>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18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418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2026-04-20T08:41:14.705Z</dcterms:created>
  <dcterms:modified xsi:type="dcterms:W3CDTF">2026-04-20T08:41:14.705Z</dcterms:modified>
</cp:coreProperties>
</file>

<file path=docProps/custom.xml><?xml version="1.0" encoding="utf-8"?>
<Properties xmlns="http://schemas.openxmlformats.org/officeDocument/2006/custom-properties" xmlns:vt="http://schemas.openxmlformats.org/officeDocument/2006/docPropsVTypes"/>
</file>