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086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fol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08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648"/>
      </w:tblGrid>
      <w:tr>
        <w:tc>
          <w:tcPr>
            <w:tcW w:type="dxa" w:w="9648"/>
            <w:shd w:val="clear" w:color="auto" w:fill="0B132B"/>
            <w:tcMar>
              <w:top w:w="180" w:type="dxa"/>
              <w:bottom w:w="18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0"/>
              </w:rPr>
              <w:t>SOFTWARE DESIGN DOCUMENT (SDD)</w:t>
            </w:r>
          </w:p>
          <w:p>
            <w:pPr>
              <w:jc w:val="center"/>
            </w:pPr>
            <w:r>
              <w:rPr>
                <w:rFonts w:ascii="Segoe UI" w:hAnsi="Segoe UI"/>
                <w:color w:val="2EC4B6"/>
                <w:sz w:val="22"/>
              </w:rPr>
              <w:t>Robotic Process Automation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rFonts w:ascii="Segoe UI" w:hAnsi="Segoe UI"/>
          <w:b/>
          <w:color w:val="0B132B"/>
          <w:sz w:val="24"/>
        </w:rPr>
        <w:t xml:space="preserve">Automation Use Case:  </w:t>
      </w:r>
      <w:r>
        <w:rPr>
          <w:rFonts w:ascii="Calibri" w:hAnsi="Calibri"/>
          <w:color w:val="6E7482"/>
          <w:sz w:val="24"/>
        </w:rPr>
        <w:t>&lt;USE CASE NAME&gt;</w:t>
      </w:r>
    </w:p>
    <w:p>
      <w:pPr>
        <w:jc w:val="center"/>
      </w:pPr>
      <w:r>
        <w:rPr>
          <w:rFonts w:ascii="Segoe UI" w:hAnsi="Segoe UI"/>
          <w:b/>
          <w:color w:val="0B132B"/>
          <w:sz w:val="24"/>
        </w:rPr>
        <w:t xml:space="preserve">Version:  </w:t>
      </w:r>
      <w:r>
        <w:rPr>
          <w:rFonts w:ascii="Calibri" w:hAnsi="Calibri"/>
          <w:color w:val="6E7482"/>
          <w:sz w:val="24"/>
        </w:rPr>
        <w:t>&lt;Version&gt;</w:t>
      </w:r>
    </w:p>
    <w:p>
      <w:pPr>
        <w:jc w:val="center"/>
      </w:pPr>
      <w:r>
        <w:rPr>
          <w:rFonts w:ascii="Segoe UI" w:hAnsi="Segoe UI"/>
          <w:b/>
          <w:color w:val="0B132B"/>
          <w:sz w:val="24"/>
        </w:rPr>
        <w:t xml:space="preserve">Author:  </w:t>
      </w:r>
      <w:r>
        <w:rPr>
          <w:rFonts w:ascii="Calibri" w:hAnsi="Calibri"/>
          <w:color w:val="6E7482"/>
          <w:sz w:val="24"/>
        </w:rPr>
        <w:t>&lt;Author Name&gt;</w:t>
      </w:r>
    </w:p>
    <w:p>
      <w:pPr>
        <w:jc w:val="center"/>
      </w:pPr>
      <w:r>
        <w:rPr>
          <w:rFonts w:ascii="Segoe UI" w:hAnsi="Segoe UI"/>
          <w:b/>
          <w:color w:val="0B132B"/>
          <w:sz w:val="24"/>
        </w:rPr>
        <w:t xml:space="preserve">Date:  </w:t>
      </w:r>
      <w:r>
        <w:rPr>
          <w:rFonts w:ascii="Calibri" w:hAnsi="Calibri"/>
          <w:color w:val="6E7482"/>
          <w:sz w:val="24"/>
        </w:rPr>
        <w:t>&lt;DD-MMM-YYYY&gt;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Describe the purpose of this Software Design Document and the automation it covers.</w:t>
      </w:r>
    </w:p>
    <w:p>
      <w:pPr>
        <w:pStyle w:val="Heading2"/>
      </w:pPr>
      <w:r>
        <w:t>1.2 Objectives</w:t>
      </w:r>
    </w:p>
    <w:p>
      <w:r>
        <w:t>List the key objectives and expected business outcomes of the automation.</w:t>
      </w:r>
    </w:p>
    <w:p>
      <w:pPr>
        <w:pStyle w:val="Heading1"/>
      </w:pPr>
      <w:r>
        <w:t>2. Key Contacts</w:t>
      </w:r>
    </w:p>
    <w:p>
      <w:pPr>
        <w:pStyle w:val="Heading2"/>
      </w:pPr>
      <w:r>
        <w:t>2.1 Minimum Pre-requisites for the Automation</w:t>
      </w:r>
    </w:p>
    <w:p>
      <w:r>
        <w:t>Document the access, credentials, environments and approvals required before development can begin.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  <w:t>Business Owner</w:t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  <w:t>Process SME</w:t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  <w:t>RPA Developer</w:t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</w:tr>
    </w:tbl>
    <w:p>
      <w:pPr>
        <w:pStyle w:val="Heading1"/>
      </w:pPr>
      <w:r>
        <w:t>3. To-Be Process Description</w:t>
      </w:r>
    </w:p>
    <w:p>
      <w:pPr>
        <w:pStyle w:val="Heading2"/>
      </w:pPr>
      <w:r>
        <w:t>3.1 Process Overview</w:t>
      </w:r>
    </w:p>
    <w:p>
      <w:r>
        <w:t>Summarise the automated (to-be) process end to end.</w:t>
      </w:r>
    </w:p>
    <w:p>
      <w:pPr>
        <w:pStyle w:val="Heading2"/>
      </w:pPr>
      <w:r>
        <w:t>3.2 Applications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</w:tr>
    </w:tbl>
    <w:p>
      <w:pPr>
        <w:pStyle w:val="Heading2"/>
      </w:pPr>
      <w:r>
        <w:t>3.3 Solution Diagram</w:t>
      </w:r>
    </w:p>
    <w:p>
      <w:r>
        <w:rPr>
          <w:i/>
          <w:color w:val="6E7482"/>
          <w:sz w:val="19"/>
        </w:rPr>
        <w:t>[ Solution / BPMN diagram is inserted here automatically when generated. ]</w:t>
      </w:r>
    </w:p>
    <w:p>
      <w:pPr>
        <w:pStyle w:val="Heading2"/>
      </w:pPr>
      <w:r>
        <w:t>3.4 Project Runtime Details</w:t>
      </w:r>
    </w:p>
    <w:p>
      <w:r>
        <w:t>Triggers, schedule, expected runtime and dependencies.</w:t>
      </w:r>
    </w:p>
    <w:p>
      <w:pPr>
        <w:pStyle w:val="Heading1"/>
      </w:pPr>
      <w:r>
        <w:t>4. Project Details</w:t>
      </w:r>
    </w:p>
    <w:p>
      <w:r>
        <w:t>Project Name:</w:t>
      </w:r>
    </w:p>
    <w:p>
      <w:r>
        <w:t>Project Description:</w:t>
      </w:r>
    </w:p>
    <w:p>
      <w:pPr>
        <w:pStyle w:val="Heading1"/>
      </w:pPr>
      <w:r>
        <w:t>5. Orchestrator Assets</w:t>
      </w:r>
    </w:p>
    <w:p>
      <w:r>
        <w:t>Describe the configurable assets, credentials and queues maintained in the orchestrator.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Asset Name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Value / Reference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</w:tr>
    </w:tbl>
    <w:p>
      <w:pPr>
        <w:pStyle w:val="Heading1"/>
      </w:pPr>
      <w:r>
        <w:t>6. Project Workflows</w:t>
      </w:r>
    </w:p>
    <w:p>
      <w:pPr>
        <w:pStyle w:val="Heading2"/>
      </w:pPr>
      <w:r>
        <w:t>6.1 RPA Bot</w:t>
      </w:r>
    </w:p>
    <w:p>
      <w:r>
        <w:t>Description of the RPA bot and its responsibilities.</w:t>
      </w:r>
    </w:p>
    <w:p>
      <w:pPr>
        <w:pStyle w:val="Heading3"/>
      </w:pPr>
      <w:r>
        <w:t>6.1.1 Workflows Used</w:t>
      </w:r>
    </w:p>
    <w:p>
      <w:pPr>
        <w:pStyle w:val="Heading3"/>
      </w:pPr>
      <w:r>
        <w:t>6.1.2 Process Restart Logic</w:t>
      </w:r>
    </w:p>
    <w:p>
      <w:pPr>
        <w:pStyle w:val="Heading3"/>
      </w:pPr>
      <w:r>
        <w:t>6.1.3 Change Request</w:t>
      </w:r>
    </w:p>
    <w:p>
      <w:pPr>
        <w:pStyle w:val="Heading3"/>
      </w:pPr>
      <w:r>
        <w:t>6.1.4 Packages</w:t>
      </w:r>
    </w:p>
    <w:p>
      <w:pPr>
        <w:pStyle w:val="Heading2"/>
      </w:pPr>
      <w:r>
        <w:t>6.2 Exception Handling</w:t>
      </w:r>
    </w:p>
    <w:p>
      <w:r>
        <w:t>Business and system exception handling approach, retries and notifications.</w:t>
      </w:r>
    </w:p>
    <w:p>
      <w:pPr>
        <w:pStyle w:val="Heading1"/>
      </w:pPr>
      <w:r>
        <w:t>7. Business Rules File</w:t>
      </w:r>
    </w:p>
    <w:p>
      <w:r>
        <w:t>Describe the business rules file, its location and structure.</w:t>
      </w:r>
    </w:p>
    <w:p>
      <w:pPr>
        <w:pStyle w:val="Heading1"/>
      </w:pPr>
      <w:r>
        <w:t>8. Bot Schedule</w:t>
      </w:r>
    </w:p>
    <w:p>
      <w:r>
        <w:t>Document the bot execution schedule and triggers.</w:t>
      </w:r>
    </w:p>
    <w:p>
      <w:pPr>
        <w:pStyle w:val="Heading1"/>
      </w:pPr>
      <w:r>
        <w:t>9. Points of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Contact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32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32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321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3216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</w:tr>
    </w:tbl>
    <w:p>
      <w:pPr>
        <w:pStyle w:val="Heading1"/>
      </w:pPr>
      <w:r>
        <w:t>10. Other Details</w:t>
      </w:r>
    </w:p>
    <w:p>
      <w:pPr>
        <w:pStyle w:val="Heading2"/>
      </w:pPr>
      <w:r>
        <w:t>10.1 Duplicate Run Prevention</w:t>
      </w:r>
    </w:p>
    <w:p>
      <w:pPr>
        <w:pStyle w:val="Heading2"/>
      </w:pPr>
      <w:r>
        <w:t>10.2 Back-dated Runs</w:t>
      </w:r>
    </w:p>
    <w:p>
      <w:pPr>
        <w:pStyle w:val="Heading2"/>
      </w:pPr>
      <w:r>
        <w:t>10.3 Associated Folder Structure / File Paths</w:t>
      </w:r>
    </w:p>
    <w:p>
      <w:pPr>
        <w:pStyle w:val="Heading2"/>
      </w:pPr>
      <w:r>
        <w:t>10.4 SLA and Expected Execution Duration</w:t>
      </w:r>
    </w:p>
    <w:p>
      <w:pPr>
        <w:pStyle w:val="Heading2"/>
      </w:pPr>
      <w:r>
        <w:t>10.5 Bot Machine Specifications</w:t>
      </w:r>
    </w:p>
    <w:p>
      <w:pPr>
        <w:pStyle w:val="Heading2"/>
      </w:pPr>
      <w:r>
        <w:t>10.6 Concurrent Bot Executions</w:t>
      </w:r>
    </w:p>
    <w:p>
      <w:pPr>
        <w:pStyle w:val="Heading2"/>
      </w:pPr>
      <w:r>
        <w:t>10.7 Priority of the Bot</w:t>
      </w:r>
    </w:p>
    <w:p>
      <w:pPr>
        <w:pStyle w:val="Heading2"/>
      </w:pPr>
      <w:r>
        <w:t>10.8 Future Improvements</w:t>
      </w:r>
    </w:p>
    <w:p>
      <w:pPr>
        <w:pStyle w:val="Heading2"/>
      </w:pPr>
      <w:r>
        <w:t>10.9 Other Remarks</w:t>
      </w:r>
    </w:p>
    <w:p>
      <w:pPr>
        <w:pStyle w:val="Heading1"/>
      </w:pPr>
      <w:r>
        <w:t>11. 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color="auto" w:fill="0B132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  <w:t>0.1</w:t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22222A"/>
                <w:sz w:val="19"/>
              </w:rPr>
              <w:t>Initial draft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  <w:t>1.0</w:t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3FB"/>
          </w:tcPr>
          <w:p>
            <w:r>
              <w:rPr>
                <w:color w:val="22222A"/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48" w:val="right"/>
      </w:tabs>
      <w:pBdr>
        <w:top w:val="single" w:sz="6" w:space="4" w:color="D7DBE3"/>
      </w:pBdr>
    </w:pPr>
    <w:r/>
    <w:r>
      <w:rPr>
        <w:rFonts w:ascii="Calibri" w:hAnsi="Calibri"/>
        <w:color w:val="6E7482"/>
        <w:sz w:val="16"/>
      </w:rPr>
      <w:t>© AlphaFold  •  Confidential</w:t>
    </w:r>
    <w:r>
      <w:tab/>
    </w:r>
    <w:r>
      <w:rPr>
        <w:rFonts w:ascii="Calibri" w:hAnsi="Calibri"/>
        <w:color w:val="6E7482"/>
        <w:sz w:val="16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48" w:val="right"/>
      </w:tabs>
      <w:pBdr>
        <w:bottom w:val="single" w:sz="6" w:space="4" w:color="3A86FF"/>
      </w:pBdr>
    </w:pPr>
    <w:r/>
    <w:r>
      <w:drawing>
        <wp:inline xmlns:a="http://schemas.openxmlformats.org/drawingml/2006/main" xmlns:pic="http://schemas.openxmlformats.org/drawingml/2006/picture">
          <wp:extent cx="921715" cy="2377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lphafold_logo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1715" cy="237744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Segoe UI" w:hAnsi="Segoe UI"/>
        <w:color w:val="6E7482"/>
        <w:sz w:val="18"/>
      </w:rPr>
      <w:t>Software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  <w:pBdr>
        <w:bottom w:val="single" w:sz="14" w:space="6" w:color="3A86FF"/>
      </w:pBdr>
    </w:pPr>
    <w:rPr>
      <w:rFonts w:asciiTheme="majorHAnsi" w:eastAsiaTheme="majorEastAsia" w:hAnsiTheme="majorHAnsi" w:cstheme="majorBidi" w:ascii="Segoe UI" w:hAnsi="Segoe UI"/>
      <w:b/>
      <w:bCs/>
      <w:color w:val="0B13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3A86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Segoe UI" w:hAnsi="Segoe UI"/>
      <w:b/>
      <w:bCs/>
      <w:color w:val="2EC4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