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Microsoft Entra ID (Azure AD)</w:t>
        <w:br/>
        <w:t>Single Sign-On Setup Guide</w:t>
      </w:r>
    </w:p>
    <w:p>
      <w:pPr>
        <w:jc w:val="center"/>
      </w:pPr>
      <w:r>
        <w:rPr>
          <w:color w:val="2E74B5"/>
          <w:sz w:val="28"/>
        </w:rPr>
        <w:t>Expense Management Platform</w:t>
      </w:r>
    </w:p>
    <w:p>
      <w:pPr>
        <w:jc w:val="center"/>
      </w:pPr>
      <w:r>
        <w:rPr>
          <w:i/>
        </w:rPr>
        <w:t>Configuration reference for enabling enterprise SSO</w:t>
        <w:br/>
      </w:r>
      <w:r>
        <w:rPr>
          <w:color w:val="606060"/>
          <w:sz w:val="20"/>
        </w:rPr>
        <w:t>Version 1.0  ·  June 2026</w:t>
      </w:r>
    </w:p>
    <w:p/>
    <w:p>
      <w:r>
        <w:rPr>
          <w:sz w:val="22"/>
        </w:rPr>
        <w:t>This guide walks an Azure administrator through every step required to enable Microsoft Entra ID single sign-on for the Expense Management platform: registering the application, configuring redirect URIs, defining app roles, exposing the API, and wiring the resulting identifiers into the frontend (Next.js / Auth.js) and backend (FastAPI) configuration. No code changes are required — SSO is enabled entirely through configuration.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How Authentication Works</w:t>
      </w:r>
    </w:p>
    <w:p>
      <w:r>
        <w:t>The platform authenticates through a standard OpenID Connect (OIDC) Authorization-Code + PKCE flow:</w:t>
      </w:r>
    </w:p>
    <w:p>
      <w:pPr>
        <w:pStyle w:val="ListNumber"/>
      </w:pPr>
      <w:r>
        <w:t>The user clicks “Sign in with Microsoft” on the portal login page.</w:t>
      </w:r>
    </w:p>
    <w:p>
      <w:pPr>
        <w:pStyle w:val="ListNumber"/>
      </w:pPr>
      <w:r>
        <w:t>Auth.js (NextAuth v5) redirects the browser to Microsoft Entra ID, which authenticates the user and returns an authorization code.</w:t>
      </w:r>
    </w:p>
    <w:p>
      <w:pPr>
        <w:pStyle w:val="ListNumber"/>
      </w:pPr>
      <w:r>
        <w:t>Auth.js exchanges the code for an ID token + access token (PKCE protects the exchange).</w:t>
      </w:r>
    </w:p>
    <w:p>
      <w:pPr>
        <w:pStyle w:val="ListNumber"/>
      </w:pPr>
      <w:r>
        <w:t>The frontend forwards the access token to the backend API.</w:t>
      </w:r>
    </w:p>
    <w:p>
      <w:pPr>
        <w:pStyle w:val="ListNumber"/>
      </w:pPr>
      <w:r>
        <w:t>The FastAPI backend validates the token against Entra’s JWKS (signature, issuer, audience), then resolves the user’s application role and agency from its own database (“DB-by-email” JIT provisioning).</w:t>
      </w:r>
    </w:p>
    <w:p>
      <w:r>
        <w:rPr>
          <w:b/>
        </w:rPr>
        <w:t xml:space="preserve">Key design point: </w:t>
      </w:r>
      <w:r>
        <w:t xml:space="preserve">Entra handles authentication (who you are); the application database remains the source of truth for authorization (role + agency). Switching the platform from local password login to Entra SSO is a single configuration flip — </w:t>
      </w:r>
      <w:r>
        <w:rPr>
          <w:rFonts w:ascii="Consolas" w:hAnsi="Consolas"/>
          <w:color w:val="B03060"/>
          <w:sz w:val="19"/>
        </w:rPr>
        <w:t>AUTH_PROVIDER=entra</w:t>
      </w:r>
      <w:r>
        <w:t xml:space="preserve"> on the backend plus the Entra client credentials on the frontend.</w:t>
      </w:r>
    </w:p>
    <w:p>
      <w:pPr>
        <w:pStyle w:val="Heading1"/>
      </w:pPr>
      <w:r>
        <w:rPr>
          <w:color w:val="1F4E79"/>
        </w:rPr>
        <w:t>2. Prerequisites</w:t>
      </w:r>
    </w:p>
    <w:p>
      <w:pPr>
        <w:pStyle w:val="ListBullet"/>
      </w:pPr>
      <w:r>
        <w:t>An Azure subscription with a Microsoft Entra ID tenant.</w:t>
      </w:r>
    </w:p>
    <w:p>
      <w:pPr>
        <w:pStyle w:val="ListBullet"/>
      </w:pPr>
      <w:r>
        <w:t>Permission to register applications (Application Administrator or Global Administrator).</w:t>
      </w:r>
    </w:p>
    <w:p>
      <w:pPr>
        <w:pStyle w:val="ListBullet"/>
      </w:pPr>
      <w:r>
        <w:t>The deployed (or local) URLs of the portal frontend and API backend.</w:t>
      </w:r>
    </w:p>
    <w:p>
      <w:pPr>
        <w:pStyle w:val="ListBullet"/>
      </w:pPr>
      <w:r>
        <w:t>Ability to set environment variables / Key Vault secrets in your hosting environment.</w:t>
      </w:r>
    </w:p>
    <w:p>
      <w:r>
        <w:rPr>
          <w:b/>
        </w:rPr>
        <w:t xml:space="preserve">This guide is written for local development first </w:t>
      </w:r>
      <w:r>
        <w:t>(the app is not yet deployed), so the examples use localhost. The production hosts are shown alongside for when you deploy — the same Entra app registration supports both at once (register multiple redirect URIs).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(now)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Production (later)</w:t>
            </w:r>
          </w:p>
        </w:tc>
      </w:tr>
      <w:tr>
        <w:tc>
          <w:tcPr>
            <w:tcW w:type="dxa" w:w="2880"/>
          </w:tcPr>
          <w:p>
            <w:r/>
            <w:r>
              <w:t>Portal (frontend)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http://localhost:3000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https://expenses.yourcompany.com</w:t>
            </w:r>
          </w:p>
        </w:tc>
      </w:tr>
      <w:tr>
        <w:tc>
          <w:tcPr>
            <w:tcW w:type="dxa" w:w="2880"/>
          </w:tcPr>
          <w:p>
            <w:r/>
            <w:r>
              <w:t>API (backend)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http://localhost:8000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https://api.expenses.yourcompany.com</w:t>
            </w:r>
          </w:p>
        </w:tc>
      </w:tr>
    </w:tbl>
    <w:p>
      <w:pPr>
        <w:spacing w:after="40"/>
      </w:pPr>
    </w:p>
    <w:p>
      <w:r>
        <w:rPr>
          <w:b/>
        </w:rPr>
        <w:t xml:space="preserve">Note — localhost is special: </w:t>
      </w:r>
      <w:r>
        <w:t>Entra allows plain http for localhost (every other host must be https), so you can test SSO locally without a TLS certificate. The redirect URI uses the portal host on port 3000 (not the API on 8000), because Auth.js on the frontend handles the OIDC callback. Use localhost, not 127.0.0.1 — Entra treats them as different origins.</w:t>
      </w:r>
    </w:p>
    <w:p>
      <w:pPr>
        <w:pStyle w:val="Heading1"/>
      </w:pPr>
      <w:r>
        <w:rPr>
          <w:color w:val="1F4E79"/>
        </w:rPr>
        <w:t>3. Register the Application in Entra ID</w:t>
      </w:r>
    </w:p>
    <w:p>
      <w:pPr>
        <w:pStyle w:val="Heading2"/>
      </w:pPr>
      <w:r>
        <w:rPr>
          <w:color w:val="2E74B5"/>
        </w:rPr>
        <w:t>3.1  Create the app registration</w:t>
      </w:r>
    </w:p>
    <w:p>
      <w:pPr>
        <w:pStyle w:val="ListNumber"/>
      </w:pPr>
      <w:r>
        <w:t>Sign in to the Azure Portal → Microsoft Entra ID → App registrations → New registration.</w:t>
      </w:r>
    </w:p>
    <w:p>
      <w:pPr>
        <w:pStyle w:val="ListNumber"/>
      </w:pPr>
      <w:r>
        <w:t>Name: “Expense Management Platform” (any descriptive name).</w:t>
      </w:r>
    </w:p>
    <w:p>
      <w:pPr>
        <w:pStyle w:val="ListNumber"/>
      </w:pPr>
      <w:r>
        <w:t>Supported account types: choose “Accounts in this organizational directory only” (single tenant) unless you intend multi-tenant / external access.</w:t>
      </w:r>
    </w:p>
    <w:p>
      <w:r>
        <w:rPr>
          <w:b/>
        </w:rPr>
        <w:t xml:space="preserve">Redirect URI: </w:t>
      </w:r>
      <w:r>
        <w:t xml:space="preserve">select platform </w:t>
      </w:r>
      <w:r>
        <w:rPr>
          <w:rFonts w:ascii="Consolas" w:hAnsi="Consolas"/>
          <w:color w:val="B03060"/>
          <w:sz w:val="19"/>
        </w:rPr>
        <w:t>Web</w:t>
      </w:r>
      <w:r>
        <w:t xml:space="preserve"> and add the Auth.js callback path. For local development use: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/>
                <w:color w:val="E6E6E6"/>
                <w:sz w:val="18"/>
              </w:rPr>
              <w:t>http://localhost:3000/api/auth/callback/microsoft-entra-id</w:t>
            </w:r>
          </w:p>
        </w:tc>
      </w:tr>
    </w:tbl>
    <w:p>
      <w:pPr>
        <w:spacing w:after="80"/>
      </w:pPr>
    </w:p>
    <w:p>
      <w:r>
        <w:t>When you deploy, add the production URL too (the same app can hold both):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/>
                <w:color w:val="E6E6E6"/>
                <w:sz w:val="18"/>
              </w:rPr>
              <w:t>https://expenses.yourcompany.com/api/auth/callback/microsoft-entra-id</w:t>
            </w:r>
          </w:p>
        </w:tc>
      </w:tr>
    </w:tbl>
    <w:p>
      <w:pPr>
        <w:spacing w:after="80"/>
      </w:pPr>
    </w:p>
    <w:p>
      <w:r>
        <w:rPr>
          <w:b/>
        </w:rPr>
        <w:t xml:space="preserve">⚠  The callback path </w:t>
      </w:r>
      <w:r>
        <w:rPr>
          <w:rFonts w:ascii="Consolas" w:hAnsi="Consolas"/>
          <w:color w:val="B03060"/>
          <w:sz w:val="19"/>
        </w:rPr>
        <w:t>/api/auth/callback/microsoft-entra-id</w:t>
      </w:r>
      <w:r>
        <w:t xml:space="preserve"> is fixed by Auth.js — it must match exactly (scheme, host, port, path). Use the portal host (port 3000), not the API (8000); http is permitted because it is localhost.</w:t>
      </w:r>
    </w:p>
    <w:p>
      <w:pPr>
        <w:pStyle w:val="ListNumber"/>
      </w:pPr>
      <w:r>
        <w:t>Click Register. On the Overview page, copy the Application (client) ID and Directory (tenant) ID — you will need both.</w:t>
      </w:r>
    </w:p>
    <w:p>
      <w:pPr>
        <w:pStyle w:val="Heading2"/>
      </w:pPr>
      <w:r>
        <w:rPr>
          <w:color w:val="2E74B5"/>
        </w:rPr>
        <w:t>3.2  Create a client secret</w:t>
      </w:r>
    </w:p>
    <w:p>
      <w:pPr>
        <w:pStyle w:val="ListNumber"/>
      </w:pPr>
      <w:r>
        <w:t>In the app registration → Certificates &amp; secrets → Client secrets → New client secret.</w:t>
      </w:r>
    </w:p>
    <w:p>
      <w:pPr>
        <w:pStyle w:val="ListNumber"/>
      </w:pPr>
      <w:r>
        <w:t>Add a description and an expiry (e.g. 12 or 24 months). Note the expiry — SSO breaks silently when a secret expires.</w:t>
      </w:r>
    </w:p>
    <w:p>
      <w:pPr>
        <w:pStyle w:val="ListNumber"/>
      </w:pPr>
      <w:r>
        <w:t>Copy the secret Value immediately (it is shown only once). Store it in Key Vault, never in source control.</w:t>
      </w:r>
    </w:p>
    <w:p>
      <w:pPr>
        <w:pStyle w:val="Heading2"/>
      </w:pPr>
      <w:r>
        <w:rPr>
          <w:color w:val="2E74B5"/>
        </w:rPr>
        <w:t>3.3  Configure tokens &amp; ID token claims</w:t>
      </w:r>
    </w:p>
    <w:p>
      <w:pPr>
        <w:pStyle w:val="ListNumber"/>
      </w:pPr>
      <w:r>
        <w:t>App registration → Token configuration → Add optional claim → ID → add email and (optionally) family_name, given_name.</w:t>
      </w:r>
    </w:p>
    <w:p>
      <w:pPr>
        <w:pStyle w:val="ListNumber"/>
      </w:pPr>
      <w:r>
        <w:t>If prompted, enable Microsoft Graph permissions to surface these claims (email, profile).</w:t>
      </w:r>
    </w:p>
    <w:p>
      <w:r>
        <w:t xml:space="preserve">This ensures the </w:t>
      </w:r>
      <w:r>
        <w:rPr>
          <w:rFonts w:ascii="Consolas" w:hAnsi="Consolas"/>
          <w:color w:val="B03060"/>
          <w:sz w:val="19"/>
        </w:rPr>
        <w:t>email</w:t>
      </w:r>
      <w:r>
        <w:t xml:space="preserve"> claim is present — the backend uses it to match the user to an existing account.</w:t>
      </w:r>
    </w:p>
    <w:p>
      <w:pPr>
        <w:pStyle w:val="Heading1"/>
      </w:pPr>
      <w:r>
        <w:rPr>
          <w:color w:val="1F4E79"/>
        </w:rPr>
        <w:t>4. Define Application Roles (Authorization)</w:t>
      </w:r>
    </w:p>
    <w:p>
      <w:r>
        <w:t>The platform has four roles: employee, manager, finance, admin. You can manage roles two ways — pick the one that matches your governance model:</w:t>
      </w:r>
    </w:p>
    <w:p>
      <w:r>
        <w:rPr>
          <w:b/>
        </w:rPr>
        <w:t xml:space="preserve">Option A — Database-driven (recommended, default). </w:t>
      </w:r>
      <w:r>
        <w:t>Entra only authenticates; the user’s role is whatever your application database says (matched by email). No app roles needed in Entra. New users are denied until an administrator provisions them (safest).</w:t>
      </w:r>
    </w:p>
    <w:p>
      <w:r>
        <w:rPr>
          <w:b/>
        </w:rPr>
        <w:t xml:space="preserve">Option B — Entra app roles. </w:t>
      </w:r>
      <w:r>
        <w:t>Define roles in Entra and assign users to them; the backend maps the Entra role to an application role for brand-new (JIT) users. Useful if you want Entra to be the role authority for first-time sign-ins.</w:t>
      </w:r>
    </w:p>
    <w:p>
      <w:pPr>
        <w:pStyle w:val="Heading2"/>
      </w:pPr>
      <w:r>
        <w:rPr>
          <w:color w:val="2E74B5"/>
        </w:rPr>
        <w:t>4.1  Create app roles (Option B only)</w:t>
      </w:r>
    </w:p>
    <w:p>
      <w:pPr>
        <w:pStyle w:val="ListNumber"/>
      </w:pPr>
      <w:r>
        <w:t>App registration → App roles → Create app role. Create one per role: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(Entra)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Maps to app role</w:t>
            </w:r>
          </w:p>
        </w:tc>
      </w:tr>
      <w:tr>
        <w:tc>
          <w:tcPr>
            <w:tcW w:type="dxa" w:w="2880"/>
          </w:tcPr>
          <w:p>
            <w:r/>
            <w:r>
              <w:t>Employee</w:t>
            </w:r>
          </w:p>
        </w:tc>
        <w:tc>
          <w:tcPr>
            <w:tcW w:type="dxa" w:w="2880"/>
          </w:tcPr>
          <w:p>
            <w:r/>
            <w:r>
              <w:t>Expense.Employee</w:t>
            </w:r>
          </w:p>
        </w:tc>
        <w:tc>
          <w:tcPr>
            <w:tcW w:type="dxa" w:w="2880"/>
          </w:tcPr>
          <w:p>
            <w:r/>
            <w:r>
              <w:t>employee</w:t>
            </w:r>
          </w:p>
        </w:tc>
      </w:tr>
      <w:tr>
        <w:tc>
          <w:tcPr>
            <w:tcW w:type="dxa" w:w="2880"/>
          </w:tcPr>
          <w:p>
            <w:r/>
            <w:r>
              <w:t>Manager</w:t>
            </w:r>
          </w:p>
        </w:tc>
        <w:tc>
          <w:tcPr>
            <w:tcW w:type="dxa" w:w="2880"/>
          </w:tcPr>
          <w:p>
            <w:r/>
            <w:r>
              <w:t>Expense.Manager</w:t>
            </w:r>
          </w:p>
        </w:tc>
        <w:tc>
          <w:tcPr>
            <w:tcW w:type="dxa" w:w="2880"/>
          </w:tcPr>
          <w:p>
            <w:r/>
            <w:r>
              <w:t>manager</w:t>
            </w:r>
          </w:p>
        </w:tc>
      </w:tr>
      <w:tr>
        <w:tc>
          <w:tcPr>
            <w:tcW w:type="dxa" w:w="2880"/>
          </w:tcPr>
          <w:p>
            <w:r/>
            <w:r>
              <w:t>Finance Approver</w:t>
            </w:r>
          </w:p>
        </w:tc>
        <w:tc>
          <w:tcPr>
            <w:tcW w:type="dxa" w:w="2880"/>
          </w:tcPr>
          <w:p>
            <w:r/>
            <w:r>
              <w:t>Expense.Finance</w:t>
            </w:r>
          </w:p>
        </w:tc>
        <w:tc>
          <w:tcPr>
            <w:tcW w:type="dxa" w:w="2880"/>
          </w:tcPr>
          <w:p>
            <w:r/>
            <w:r>
              <w:t>finance</w:t>
            </w:r>
          </w:p>
        </w:tc>
      </w:tr>
      <w:tr>
        <w:tc>
          <w:tcPr>
            <w:tcW w:type="dxa" w:w="2880"/>
          </w:tcPr>
          <w:p>
            <w:r/>
            <w:r>
              <w:t>Administrator</w:t>
            </w:r>
          </w:p>
        </w:tc>
        <w:tc>
          <w:tcPr>
            <w:tcW w:type="dxa" w:w="2880"/>
          </w:tcPr>
          <w:p>
            <w:r/>
            <w:r>
              <w:t>Expense.Admin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</w:tbl>
    <w:p>
      <w:pPr>
        <w:spacing w:after="40"/>
      </w:pPr>
    </w:p>
    <w:p>
      <w:r>
        <w:rPr>
          <w:b/>
        </w:rPr>
        <w:t xml:space="preserve">Allowed member types: </w:t>
      </w:r>
      <w:r>
        <w:t>Users/Groups. After creating, go to Enterprise applications → your app → Users and groups to assign people to roles.</w:t>
      </w:r>
    </w:p>
    <w:p>
      <w:r>
        <w:t xml:space="preserve">The Entra-value → app-role mapping is configured on the backend via </w:t>
      </w:r>
      <w:r>
        <w:rPr>
          <w:rFonts w:ascii="Consolas" w:hAnsi="Consolas"/>
          <w:color w:val="B03060"/>
          <w:sz w:val="19"/>
        </w:rPr>
        <w:t>APP_OIDC_ROLE_MAP</w:t>
      </w:r>
      <w:r>
        <w:t xml:space="preserve"> (see §6).</w:t>
      </w:r>
    </w:p>
    <w:p>
      <w:pPr>
        <w:pStyle w:val="Heading1"/>
      </w:pPr>
      <w:r>
        <w:rPr>
          <w:color w:val="1F4E79"/>
        </w:rPr>
        <w:t>5. Expose the API (Audience)</w:t>
      </w:r>
    </w:p>
    <w:p>
      <w:r>
        <w:t>The backend validates that tokens were minted for this application (the audience check). The simplest, robust configuration is to use the application’s own client ID as the audience.</w:t>
      </w:r>
    </w:p>
    <w:p>
      <w:pPr>
        <w:pStyle w:val="ListBullet"/>
      </w:pPr>
      <w:r>
        <w:t>Easiest path: set the backend audience to the Application (client) ID from §3.1. Auth.js requests tokens for that client, so the audience matches.</w:t>
      </w:r>
    </w:p>
    <w:p>
      <w:pPr>
        <w:pStyle w:val="ListBullet"/>
      </w:pPr>
      <w:r>
        <w:t>Optional (custom API scope): App registration → Expose an API → Set an Application ID URI (e.g. api://&lt;client-id&gt;) → Add a scope (e.g. access_as_user). Use this if you want a dedicated API resource with its own scopes.</w:t>
      </w:r>
    </w:p>
    <w:p>
      <w:pPr>
        <w:pStyle w:val="Heading1"/>
      </w:pPr>
      <w:r>
        <w:rPr>
          <w:color w:val="1F4E79"/>
        </w:rPr>
        <w:t>6. Backend Configuration (FastAPI)</w:t>
      </w:r>
    </w:p>
    <w:p>
      <w:r>
        <w:t xml:space="preserve">Set these environment variables on the API. They map to </w:t>
      </w:r>
      <w:r>
        <w:rPr>
          <w:rFonts w:ascii="Consolas" w:hAnsi="Consolas"/>
          <w:color w:val="B03060"/>
          <w:sz w:val="19"/>
        </w:rPr>
        <w:t>api/app/config.py</w:t>
      </w:r>
      <w:r>
        <w:t xml:space="preserve"> (all backend settings use the </w:t>
      </w:r>
      <w:r>
        <w:rPr>
          <w:rFonts w:ascii="Consolas" w:hAnsi="Consolas"/>
          <w:color w:val="B03060"/>
          <w:sz w:val="19"/>
        </w:rPr>
        <w:t>APP_</w:t>
      </w:r>
      <w:r>
        <w:t xml:space="preserve"> prefix). In Azure, project them from Key Vault via Managed Identity — never hard-code secrets.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APP_AUTH_PROVIDER</w:t>
            </w:r>
          </w:p>
        </w:tc>
        <w:tc>
          <w:tcPr>
            <w:tcW w:type="dxa" w:w="2880"/>
          </w:tcPr>
          <w:p>
            <w:r/>
            <w:r>
              <w:t>entra</w:t>
            </w:r>
          </w:p>
        </w:tc>
        <w:tc>
          <w:tcPr>
            <w:tcW w:type="dxa" w:w="2880"/>
          </w:tcPr>
          <w:p>
            <w:r/>
            <w:r>
              <w:t>The single switch that turns on Entra SSO.</w:t>
            </w:r>
          </w:p>
        </w:tc>
      </w:tr>
      <w:tr>
        <w:tc>
          <w:tcPr>
            <w:tcW w:type="dxa" w:w="2880"/>
          </w:tcPr>
          <w:p>
            <w:r/>
            <w:r>
              <w:t>APP_ENTRA_TENANT_ID</w:t>
            </w:r>
          </w:p>
        </w:tc>
        <w:tc>
          <w:tcPr>
            <w:tcW w:type="dxa" w:w="2880"/>
          </w:tcPr>
          <w:p>
            <w:r/>
            <w:r>
              <w:t>&lt;Directory (tenant) ID&gt;</w:t>
            </w:r>
          </w:p>
        </w:tc>
        <w:tc>
          <w:tcPr>
            <w:tcW w:type="dxa" w:w="2880"/>
          </w:tcPr>
          <w:p>
            <w:r/>
            <w:r>
              <w:t>From the app registration Overview.</w:t>
            </w:r>
          </w:p>
        </w:tc>
      </w:tr>
      <w:tr>
        <w:tc>
          <w:tcPr>
            <w:tcW w:type="dxa" w:w="2880"/>
          </w:tcPr>
          <w:p>
            <w:r/>
            <w:r>
              <w:t>APP_ENTRA_AUDIENCE</w:t>
            </w:r>
          </w:p>
        </w:tc>
        <w:tc>
          <w:tcPr>
            <w:tcW w:type="dxa" w:w="2880"/>
          </w:tcPr>
          <w:p>
            <w:r/>
            <w:r>
              <w:t>&lt;Application (client) ID&gt;</w:t>
            </w:r>
          </w:p>
        </w:tc>
        <w:tc>
          <w:tcPr>
            <w:tcW w:type="dxa" w:w="2880"/>
          </w:tcPr>
          <w:p>
            <w:r/>
            <w:r>
              <w:t>The audience the token must target (see §5).</w:t>
            </w:r>
          </w:p>
        </w:tc>
      </w:tr>
      <w:tr>
        <w:tc>
          <w:tcPr>
            <w:tcW w:type="dxa" w:w="2880"/>
          </w:tcPr>
          <w:p>
            <w:r/>
            <w:r>
              <w:t>APP_OIDC_AUTO_PROVISION</w:t>
            </w:r>
          </w:p>
        </w:tc>
        <w:tc>
          <w:tcPr>
            <w:tcW w:type="dxa" w:w="2880"/>
          </w:tcPr>
          <w:p>
            <w:r/>
            <w:r>
              <w:t>false</w:t>
            </w:r>
          </w:p>
        </w:tc>
        <w:tc>
          <w:tcPr>
            <w:tcW w:type="dxa" w:w="2880"/>
          </w:tcPr>
          <w:p>
            <w:r/>
            <w:r>
              <w:t>true = auto-create unknown users; false = deny until provisioned (safest).</w:t>
            </w:r>
          </w:p>
        </w:tc>
      </w:tr>
      <w:tr>
        <w:tc>
          <w:tcPr>
            <w:tcW w:type="dxa" w:w="2880"/>
          </w:tcPr>
          <w:p>
            <w:r/>
            <w:r>
              <w:t>APP_OIDC_DEFAULT_ROLE</w:t>
            </w:r>
          </w:p>
        </w:tc>
        <w:tc>
          <w:tcPr>
            <w:tcW w:type="dxa" w:w="2880"/>
          </w:tcPr>
          <w:p>
            <w:r/>
            <w:r>
              <w:t>employee</w:t>
            </w:r>
          </w:p>
        </w:tc>
        <w:tc>
          <w:tcPr>
            <w:tcW w:type="dxa" w:w="2880"/>
          </w:tcPr>
          <w:p>
            <w:r/>
            <w:r>
              <w:t>Role for auto-provisioned users with no mapping (only if auto-provision = true).</w:t>
            </w:r>
          </w:p>
        </w:tc>
      </w:tr>
      <w:tr>
        <w:tc>
          <w:tcPr>
            <w:tcW w:type="dxa" w:w="2880"/>
          </w:tcPr>
          <w:p>
            <w:r/>
            <w:r>
              <w:t>APP_OIDC_DEFAULT_AGENCY_ID</w:t>
            </w:r>
          </w:p>
        </w:tc>
        <w:tc>
          <w:tcPr>
            <w:tcW w:type="dxa" w:w="2880"/>
          </w:tcPr>
          <w:p>
            <w:r/>
            <w:r>
              <w:t>&lt;agency id&gt;</w:t>
            </w:r>
          </w:p>
        </w:tc>
        <w:tc>
          <w:tcPr>
            <w:tcW w:type="dxa" w:w="2880"/>
          </w:tcPr>
          <w:p>
            <w:r/>
            <w:r>
              <w:t>Agency for auto-provisioned users (empty = deny).</w:t>
            </w:r>
          </w:p>
        </w:tc>
      </w:tr>
      <w:tr>
        <w:tc>
          <w:tcPr>
            <w:tcW w:type="dxa" w:w="2880"/>
          </w:tcPr>
          <w:p>
            <w:r/>
            <w:r>
              <w:t>APP_OIDC_ROLE_MAP</w:t>
            </w:r>
          </w:p>
        </w:tc>
        <w:tc>
          <w:tcPr>
            <w:tcW w:type="dxa" w:w="2880"/>
          </w:tcPr>
          <w:p>
            <w:r/>
            <w:r>
              <w:t>{"Expense.Admin":"admin","Expense.Finance":"finance","Expense.Manager":"manager"}</w:t>
            </w:r>
          </w:p>
        </w:tc>
        <w:tc>
          <w:tcPr>
            <w:tcW w:type="dxa" w:w="2880"/>
          </w:tcPr>
          <w:p>
            <w:r/>
            <w:r>
              <w:t>Entra app-role value → app role (Option B).</w:t>
            </w:r>
          </w:p>
        </w:tc>
      </w:tr>
    </w:tbl>
    <w:p>
      <w:pPr>
        <w:spacing w:after="40"/>
      </w:pPr>
    </w:p>
    <w:p>
      <w:r>
        <w:rPr>
          <w:b/>
        </w:rPr>
        <w:t xml:space="preserve">Note: </w:t>
      </w:r>
      <w:r>
        <w:t xml:space="preserve">when </w:t>
      </w:r>
      <w:r>
        <w:rPr>
          <w:rFonts w:ascii="Consolas" w:hAnsi="Consolas"/>
          <w:color w:val="B03060"/>
          <w:sz w:val="19"/>
        </w:rPr>
        <w:t>APP_AUTH_PROVIDER=entra</w:t>
      </w:r>
      <w:r>
        <w:t xml:space="preserve">, the backend automatically derives the OIDC issuer and JWKS URL from the tenant ID, so </w:t>
      </w:r>
      <w:r>
        <w:rPr>
          <w:rFonts w:ascii="Consolas" w:hAnsi="Consolas"/>
          <w:color w:val="B03060"/>
          <w:sz w:val="19"/>
        </w:rPr>
        <w:t>APP_ENTRA_JWKS_URL</w:t>
      </w:r>
      <w:r>
        <w:t xml:space="preserve"> / </w:t>
      </w:r>
      <w:r>
        <w:rPr>
          <w:rFonts w:ascii="Consolas" w:hAnsi="Consolas"/>
          <w:color w:val="B03060"/>
          <w:sz w:val="19"/>
        </w:rPr>
        <w:t>APP_OIDC_ISSUER</w:t>
      </w:r>
      <w:r>
        <w:t xml:space="preserve"> do not need to be set manually for standard Entra tenants.</w:t>
      </w:r>
    </w:p>
    <w:p>
      <w:r>
        <w:rPr>
          <w:b/>
        </w:rPr>
        <w:t xml:space="preserve">Example backend </w:t>
      </w:r>
      <w:r>
        <w:rPr>
          <w:rFonts w:ascii="Consolas" w:hAnsi="Consolas"/>
          <w:color w:val="B03060"/>
          <w:sz w:val="19"/>
        </w:rPr>
        <w:t>.env</w:t>
      </w:r>
      <w:r>
        <w:rPr>
          <w:b/>
        </w:rPr>
        <w:t xml:space="preserve"> (or Key Vault references):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/>
                <w:color w:val="E6E6E6"/>
                <w:sz w:val="18"/>
              </w:rPr>
              <w:t>APP_AUTH_PROVIDER=entra</w:t>
            </w:r>
            <w:r>
              <w:rPr>
                <w:rFonts w:ascii="Consolas" w:hAnsi="Consolas"/>
                <w:color w:val="E6E6E6"/>
                <w:sz w:val="18"/>
              </w:rPr>
              <w:br/>
              <w:t>APP_ENTRA_TENANT_ID=00000000-1111-2222-3333-444444444444</w:t>
            </w:r>
            <w:r>
              <w:rPr>
                <w:rFonts w:ascii="Consolas" w:hAnsi="Consolas"/>
                <w:color w:val="E6E6E6"/>
                <w:sz w:val="18"/>
              </w:rPr>
              <w:br/>
              <w:t>APP_ENTRA_AUDIENCE=aaaaaaaa-bbbb-cccc-dddd-eeeeeeeeeeee</w:t>
            </w:r>
            <w:r>
              <w:rPr>
                <w:rFonts w:ascii="Consolas" w:hAnsi="Consolas"/>
                <w:color w:val="E6E6E6"/>
                <w:sz w:val="18"/>
              </w:rPr>
              <w:br/>
              <w:t>APP_OIDC_AUTO_PROVISION=false</w:t>
            </w:r>
            <w:r>
              <w:rPr>
                <w:rFonts w:ascii="Consolas" w:hAnsi="Consolas"/>
                <w:color w:val="E6E6E6"/>
                <w:sz w:val="18"/>
              </w:rPr>
              <w:br/>
              <w:t>APP_CORS_ALLOW_ORIGINS=http://localhost:3000     # production: https://expenses.yourcompany.com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9"/>
        </w:rPr>
        <w:t>7. Frontend Configuration (Next.js / Auth.js)</w:t>
      </w:r>
    </w:p>
    <w:p>
      <w:r>
        <w:t xml:space="preserve">Set these on the portal. They map to </w:t>
      </w:r>
      <w:r>
        <w:rPr>
          <w:rFonts w:ascii="Consolas" w:hAnsi="Consolas"/>
          <w:color w:val="B03060"/>
          <w:sz w:val="19"/>
        </w:rPr>
        <w:t>frontend/src/auth.ts</w:t>
      </w:r>
      <w:r>
        <w:t>. Entra SSO is auto-enabled as soon as the client ID and issuer are present.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AUTH_MICROSOFT_ENTRA_ID_ID</w:t>
            </w:r>
          </w:p>
        </w:tc>
        <w:tc>
          <w:tcPr>
            <w:tcW w:type="dxa" w:w="2880"/>
          </w:tcPr>
          <w:p>
            <w:r/>
            <w:r>
              <w:t>&lt;Application (client) ID&gt;</w:t>
            </w:r>
          </w:p>
        </w:tc>
        <w:tc>
          <w:tcPr>
            <w:tcW w:type="dxa" w:w="2880"/>
          </w:tcPr>
          <w:p>
            <w:r/>
            <w:r>
              <w:t>From the app registration Overview.</w:t>
            </w:r>
          </w:p>
        </w:tc>
      </w:tr>
      <w:tr>
        <w:tc>
          <w:tcPr>
            <w:tcW w:type="dxa" w:w="2880"/>
          </w:tcPr>
          <w:p>
            <w:r/>
            <w:r>
              <w:t>AUTH_MICROSOFT_ENTRA_ID_SECRET</w:t>
            </w:r>
          </w:p>
        </w:tc>
        <w:tc>
          <w:tcPr>
            <w:tcW w:type="dxa" w:w="2880"/>
          </w:tcPr>
          <w:p>
            <w:r/>
            <w:r>
              <w:t>&lt;client secret value&gt;</w:t>
            </w:r>
          </w:p>
        </w:tc>
        <w:tc>
          <w:tcPr>
            <w:tcW w:type="dxa" w:w="2880"/>
          </w:tcPr>
          <w:p>
            <w:r/>
            <w:r>
              <w:t>From Certificates &amp; secrets (§3.2).</w:t>
            </w:r>
          </w:p>
        </w:tc>
      </w:tr>
      <w:tr>
        <w:tc>
          <w:tcPr>
            <w:tcW w:type="dxa" w:w="2880"/>
          </w:tcPr>
          <w:p>
            <w:r/>
            <w:r>
              <w:t>AUTH_MICROSOFT_ENTRA_ID_ISSUER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https://login.microsoftonline.com/&lt;tenant-id&gt;/v2.0</w:t>
            </w:r>
          </w:p>
        </w:tc>
        <w:tc>
          <w:tcPr>
            <w:tcW w:type="dxa" w:w="2880"/>
          </w:tcPr>
          <w:p>
            <w:r/>
            <w:r>
              <w:t>Tenant-specific OIDC issuer.</w:t>
            </w:r>
          </w:p>
        </w:tc>
      </w:tr>
      <w:tr>
        <w:tc>
          <w:tcPr>
            <w:tcW w:type="dxa" w:w="2880"/>
          </w:tcPr>
          <w:p>
            <w:r/>
            <w:r>
              <w:t>AUTH_SECRET</w:t>
            </w:r>
          </w:p>
        </w:tc>
        <w:tc>
          <w:tcPr>
            <w:tcW w:type="dxa" w:w="2880"/>
          </w:tcPr>
          <w:p>
            <w:r/>
            <w:r>
              <w:t>&lt;random 32+ byte string&gt;</w:t>
            </w:r>
          </w:p>
        </w:tc>
        <w:tc>
          <w:tcPr>
            <w:tcW w:type="dxa" w:w="2880"/>
          </w:tcPr>
          <w:p>
            <w:r/>
            <w:r>
              <w:t>Encrypts the session cookie. Generate with: openssl rand -base64 32</w:t>
            </w:r>
          </w:p>
        </w:tc>
      </w:tr>
      <w:tr>
        <w:tc>
          <w:tcPr>
            <w:tcW w:type="dxa" w:w="2880"/>
          </w:tcPr>
          <w:p>
            <w:r/>
            <w:r>
              <w:t>NEXT_PUBLIC_API_BASE_URL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http://localhost:8000</w:t>
            </w:r>
          </w:p>
        </w:tc>
        <w:tc>
          <w:tcPr>
            <w:tcW w:type="dxa" w:w="2880"/>
          </w:tcPr>
          <w:p>
            <w:r/>
            <w:r>
              <w:t>Where the frontend calls the backend (local; prod = https API host).</w:t>
            </w:r>
          </w:p>
        </w:tc>
      </w:tr>
      <w:tr>
        <w:tc>
          <w:tcPr>
            <w:tcW w:type="dxa" w:w="2880"/>
          </w:tcPr>
          <w:p>
            <w:r/>
            <w:r>
              <w:t>AUTH_OIDC_TOKEN_URL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https://login.microsoftonline.com/&lt;tenant-id&gt;/oauth2/v2.0/token</w:t>
            </w:r>
          </w:p>
        </w:tc>
        <w:tc>
          <w:tcPr>
            <w:tcW w:type="dxa" w:w="2880"/>
          </w:tcPr>
          <w:p>
            <w:r/>
            <w:r>
              <w:t>Used for silent token refresh (optional but recommended).</w:t>
            </w:r>
          </w:p>
        </w:tc>
      </w:tr>
      <w:tr>
        <w:tc>
          <w:tcPr>
            <w:tcW w:type="dxa" w:w="2880"/>
          </w:tcPr>
          <w:p>
            <w:r/>
            <w:r>
              <w:t>AUTH_OIDC_CLIENT_ID</w:t>
            </w:r>
          </w:p>
        </w:tc>
        <w:tc>
          <w:tcPr>
            <w:tcW w:type="dxa" w:w="2880"/>
          </w:tcPr>
          <w:p>
            <w:r/>
            <w:r>
              <w:t>&lt;Application (client) ID&gt;</w:t>
            </w:r>
          </w:p>
        </w:tc>
        <w:tc>
          <w:tcPr>
            <w:tcW w:type="dxa" w:w="2880"/>
          </w:tcPr>
          <w:p>
            <w:r/>
            <w:r>
              <w:t>Same client ID (for refresh).</w:t>
            </w:r>
          </w:p>
        </w:tc>
      </w:tr>
      <w:tr>
        <w:tc>
          <w:tcPr>
            <w:tcW w:type="dxa" w:w="2880"/>
          </w:tcPr>
          <w:p>
            <w:r/>
            <w:r>
              <w:t>AUTH_OIDC_CLIENT_SECRET</w:t>
            </w:r>
          </w:p>
        </w:tc>
        <w:tc>
          <w:tcPr>
            <w:tcW w:type="dxa" w:w="2880"/>
          </w:tcPr>
          <w:p>
            <w:r/>
            <w:r>
              <w:t>&lt;client secret value&gt;</w:t>
            </w:r>
          </w:p>
        </w:tc>
        <w:tc>
          <w:tcPr>
            <w:tcW w:type="dxa" w:w="2880"/>
          </w:tcPr>
          <w:p>
            <w:r/>
            <w:r>
              <w:t>Same secret (for refresh).</w:t>
            </w:r>
          </w:p>
        </w:tc>
      </w:tr>
    </w:tbl>
    <w:p>
      <w:pPr>
        <w:spacing w:after="40"/>
      </w:pPr>
    </w:p>
    <w:p>
      <w:r>
        <w:rPr>
          <w:b/>
        </w:rPr>
        <w:t xml:space="preserve">Example frontend </w:t>
      </w:r>
      <w:r>
        <w:rPr>
          <w:rFonts w:ascii="Consolas" w:hAnsi="Consolas"/>
          <w:color w:val="B03060"/>
          <w:sz w:val="19"/>
        </w:rPr>
        <w:t>.env.local</w:t>
      </w:r>
      <w:r>
        <w:rPr>
          <w:b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/>
                <w:color w:val="E6E6E6"/>
                <w:sz w:val="18"/>
              </w:rPr>
              <w:t>AUTH_SECRET=replace-with-openssl-rand-base64-32</w:t>
            </w:r>
            <w:r>
              <w:rPr>
                <w:rFonts w:ascii="Consolas" w:hAnsi="Consolas"/>
                <w:color w:val="E6E6E6"/>
                <w:sz w:val="18"/>
              </w:rPr>
              <w:br/>
              <w:t>AUTH_MICROSOFT_ENTRA_ID_ID=aaaaaaaa-bbbb-cccc-dddd-eeeeeeeeeeee</w:t>
            </w:r>
            <w:r>
              <w:rPr>
                <w:rFonts w:ascii="Consolas" w:hAnsi="Consolas"/>
                <w:color w:val="E6E6E6"/>
                <w:sz w:val="18"/>
              </w:rPr>
              <w:br/>
              <w:t>AUTH_MICROSOFT_ENTRA_ID_SECRET=your-client-secret-value</w:t>
            </w:r>
            <w:r>
              <w:rPr>
                <w:rFonts w:ascii="Consolas" w:hAnsi="Consolas"/>
                <w:color w:val="E6E6E6"/>
                <w:sz w:val="18"/>
              </w:rPr>
              <w:br/>
              <w:t>AUTH_MICROSOFT_ENTRA_ID_ISSUER=https://login.microsoftonline.com/00000000-1111-2222-3333-444444444444/v2.0</w:t>
            </w:r>
            <w:r>
              <w:rPr>
                <w:rFonts w:ascii="Consolas" w:hAnsi="Consolas"/>
                <w:color w:val="E6E6E6"/>
                <w:sz w:val="18"/>
              </w:rPr>
              <w:br/>
              <w:t>NEXT_PUBLIC_API_BASE_URL=http://localhost:8000</w:t>
            </w:r>
            <w:r>
              <w:rPr>
                <w:rFonts w:ascii="Consolas" w:hAnsi="Consolas"/>
                <w:color w:val="E6E6E6"/>
                <w:sz w:val="18"/>
              </w:rPr>
              <w:br/>
              <w:t>AUTH_OIDC_TOKEN_URL=https://login.microsoftonline.com/00000000-1111-2222-3333-444444444444/oauth2/v2.0/token</w:t>
            </w:r>
            <w:r>
              <w:rPr>
                <w:rFonts w:ascii="Consolas" w:hAnsi="Consolas"/>
                <w:color w:val="E6E6E6"/>
                <w:sz w:val="18"/>
              </w:rPr>
              <w:br/>
              <w:t>AUTH_OIDC_CLIENT_ID=aaaaaaaa-bbbb-cccc-dddd-eeeeeeeeeeee</w:t>
            </w:r>
            <w:r>
              <w:rPr>
                <w:rFonts w:ascii="Consolas" w:hAnsi="Consolas"/>
                <w:color w:val="E6E6E6"/>
                <w:sz w:val="18"/>
              </w:rPr>
              <w:br/>
              <w:t>AUTH_OIDC_CLIENT_SECRET=your-client-secret-value</w:t>
            </w:r>
          </w:p>
        </w:tc>
      </w:tr>
    </w:tbl>
    <w:p>
      <w:pPr>
        <w:spacing w:after="80"/>
      </w:pPr>
    </w:p>
    <w:p>
      <w:r>
        <w:rPr>
          <w:b/>
        </w:rPr>
        <w:t xml:space="preserve">Only </w:t>
      </w:r>
      <w:r>
        <w:rPr>
          <w:rFonts w:ascii="Consolas" w:hAnsi="Consolas"/>
          <w:color w:val="B03060"/>
          <w:sz w:val="19"/>
        </w:rPr>
        <w:t>NEXT_PUBLIC_API_BASE_URL</w:t>
      </w:r>
      <w:r>
        <w:t xml:space="preserve"> and </w:t>
      </w:r>
      <w:r>
        <w:rPr>
          <w:rFonts w:ascii="Consolas" w:hAnsi="Consolas"/>
          <w:color w:val="B03060"/>
          <w:sz w:val="19"/>
        </w:rPr>
        <w:t>APP_CORS_ALLOW_ORIGINS</w:t>
      </w:r>
      <w:r>
        <w:t xml:space="preserve"> change between local and production. The login.microsoftonline.com issuer/token URLs are Microsoft's own endpoints and stay https in every environment.</w:t>
      </w:r>
    </w:p>
    <w:p>
      <w:pPr>
        <w:pStyle w:val="Heading1"/>
      </w:pPr>
      <w:r>
        <w:rPr>
          <w:color w:val="1F4E79"/>
        </w:rPr>
        <w:t>8. User Provisioning</w:t>
      </w:r>
    </w:p>
    <w:p>
      <w:r>
        <w:t>Because authorization lives in the application database, each user must exist there with the correct role and agency before (or at) first sign-in:</w:t>
      </w:r>
    </w:p>
    <w:p>
      <w:pPr>
        <w:pStyle w:val="ListBullet"/>
      </w:pPr>
      <w:r>
        <w:t>Pre-provision (recommended): an administrator creates the user records (matched by the email Entra returns). Sign-in then “just works” and the existing role/agency apply.</w:t>
      </w:r>
    </w:p>
    <w:p>
      <w:pPr>
        <w:pStyle w:val="ListBullet"/>
      </w:pPr>
      <w:r>
        <w:t>JIT auto-provision: set APP_OIDC_AUTO_PROVISION=true so unknown users are created on first sign-in using the mapped Entra role (or APP_OIDC_DEFAULT_ROLE) and APP_OIDC_DEFAULT_AGENCY_ID.</w:t>
      </w:r>
    </w:p>
    <w:p>
      <w:r>
        <w:rPr>
          <w:b/>
        </w:rPr>
        <w:t xml:space="preserve">Identity matching order: </w:t>
      </w:r>
      <w:r>
        <w:t>(1) Entra object ID if previously linked → (2) email match (links the Entra subject to the account) → (3) JIT create or deny. For existing users, the database role always wins.</w:t>
      </w:r>
    </w:p>
    <w:p>
      <w:pPr>
        <w:pStyle w:val="Heading1"/>
      </w:pPr>
      <w:r>
        <w:rPr>
          <w:color w:val="1F4E79"/>
        </w:rPr>
        <w:t>9. Validate the Setup</w:t>
      </w:r>
    </w:p>
    <w:p>
      <w:pPr>
        <w:pStyle w:val="ListNumber"/>
      </w:pPr>
      <w:r>
        <w:t>Deploy/restart both apps with the new variables.</w:t>
      </w:r>
    </w:p>
    <w:p>
      <w:pPr>
        <w:pStyle w:val="ListNumber"/>
      </w:pPr>
      <w:r>
        <w:t>Open the portal login page — a “Sign in with Microsoft” option should appear.</w:t>
      </w:r>
    </w:p>
    <w:p>
      <w:pPr>
        <w:pStyle w:val="ListNumber"/>
      </w:pPr>
      <w:r>
        <w:t>Sign in with a test user. You should be redirected to Microsoft, authenticate, and land on the role-appropriate dashboard.</w:t>
      </w:r>
    </w:p>
    <w:p>
      <w:pPr>
        <w:pStyle w:val="ListNumber"/>
      </w:pPr>
      <w:r>
        <w:t>Confirm the role/agency are correct (the database value drives what the user sees).</w:t>
      </w:r>
    </w:p>
    <w:p>
      <w:pPr>
        <w:pStyle w:val="ListNumber"/>
      </w:pPr>
      <w:r>
        <w:t>Sign out and confirm the session ends; protected routes redirect unauthenticated users to /login.</w:t>
      </w:r>
    </w:p>
    <w:p>
      <w:r>
        <w:rPr>
          <w:b/>
        </w:rPr>
        <w:t xml:space="preserve">Quick backend check: </w:t>
      </w:r>
      <w:r>
        <w:t>call the API with the Entra access token and confirm the resolved identity: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/>
                <w:color w:val="E6E6E6"/>
                <w:sz w:val="18"/>
              </w:rPr>
              <w:t>curl -H "Authorization: Bearer &lt;entra-access-token&gt;" \</w:t>
            </w:r>
            <w:r>
              <w:rPr>
                <w:rFonts w:ascii="Consolas" w:hAnsi="Consolas"/>
                <w:color w:val="E6E6E6"/>
                <w:sz w:val="18"/>
              </w:rPr>
              <w:br/>
              <w:t xml:space="preserve">     http://localhost:8000/auth/me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9"/>
        </w:rPr>
        <w:t>10.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Cause / Fix</w:t>
            </w:r>
          </w:p>
        </w:tc>
      </w:tr>
      <w:tr>
        <w:tc>
          <w:tcPr>
            <w:tcW w:type="dxa" w:w="4320"/>
          </w:tcPr>
          <w:p>
            <w:r/>
            <w:r>
              <w:t>AADSTS50011: redirect URI mismatch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The redirect URI in Entra must exactly equal /api/auth/callback/microsoft-entra-id on your portal host (scheme, host, path).</w:t>
            </w:r>
          </w:p>
        </w:tc>
      </w:tr>
      <w:tr>
        <w:tc>
          <w:tcPr>
            <w:tcW w:type="dxa" w:w="4320"/>
          </w:tcPr>
          <w:p>
            <w:r/>
            <w:r>
              <w:t>Login succeeds but user lands on /login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AUTH_SECRET missing or changed → session cookie can’t be decrypted. Set a stable AUTH_SECRET.</w:t>
            </w:r>
          </w:p>
        </w:tc>
      </w:tr>
      <w:tr>
        <w:tc>
          <w:tcPr>
            <w:tcW w:type="dxa" w:w="4320"/>
          </w:tcPr>
          <w:p>
            <w:r/>
            <w:r>
              <w:t>401 from the API after login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Audience mismatch — APP_ENTRA_AUDIENCE must equal the client ID the token was minted for; tenant ID must be correct.</w:t>
            </w:r>
          </w:p>
        </w:tc>
      </w:tr>
      <w:tr>
        <w:tc>
          <w:tcPr>
            <w:tcW w:type="dxa" w:w="4320"/>
          </w:tcPr>
          <w:p>
            <w:r/>
            <w:r>
              <w:t>“Contact your administrator” on first sign-in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User has no DB account and APP_OIDC_AUTO_PROVISION=false. Provision the user or enable JIT.</w:t>
            </w:r>
          </w:p>
        </w:tc>
      </w:tr>
      <w:tr>
        <w:tc>
          <w:tcPr>
            <w:tcW w:type="dxa" w:w="4320"/>
          </w:tcPr>
          <w:p>
            <w:r/>
            <w:r>
              <w:t>Wrong role after sign-in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Existing DB role wins. Update the user’s role in the database, or use Entra app roles + APP_OIDC_ROLE_MAP for JIT users.</w:t>
            </w:r>
          </w:p>
        </w:tc>
      </w:tr>
      <w:tr>
        <w:tc>
          <w:tcPr>
            <w:tcW w:type="dxa" w:w="4320"/>
          </w:tcPr>
          <w:p>
            <w:r/>
            <w:r>
              <w:t>SSO breaks after some months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The client secret expired. Create a new secret (§3.2) and update AUTH_MICROSOFT_ENTRA_ID_SECRET / AUTH_OIDC_CLIENT_SECRET.</w:t>
            </w:r>
          </w:p>
        </w:tc>
      </w:tr>
      <w:tr>
        <w:tc>
          <w:tcPr>
            <w:tcW w:type="dxa" w:w="4320"/>
          </w:tcPr>
          <w:p>
            <w:r/>
            <w:r>
              <w:t>No “Sign in with Microsoft” button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Frontend missing AUTH_MICROSOFT_ENTRA_ID_ID and/or _ISSUER — both are required to register the provider.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E79"/>
        </w:rPr>
        <w:t>11. Security &amp; Production Notes</w:t>
      </w:r>
    </w:p>
    <w:p>
      <w:pPr>
        <w:pStyle w:val="ListBullet"/>
      </w:pPr>
      <w:r>
        <w:t>Store all secrets (client secret, AUTH_SECRET) in Azure Key Vault; project them via Managed Identity. Never commit them.</w:t>
      </w:r>
    </w:p>
    <w:p>
      <w:pPr>
        <w:pStyle w:val="ListBullet"/>
      </w:pPr>
      <w:r>
        <w:t>Use HTTPS everywhere; set the real portal origin in APP_CORS_ALLOW_ORIGINS (no wildcards in production).</w:t>
      </w:r>
    </w:p>
    <w:p>
      <w:pPr>
        <w:pStyle w:val="ListBullet"/>
      </w:pPr>
      <w:r>
        <w:t>Keep APP_OIDC_AUTO_PROVISION=false unless you explicitly want open self-provisioning.</w:t>
      </w:r>
    </w:p>
    <w:p>
      <w:pPr>
        <w:pStyle w:val="ListBullet"/>
      </w:pPr>
      <w:r>
        <w:t>Track client-secret expiry; rotate before it lapses. Consider certificate credentials for long-lived deployments.</w:t>
      </w:r>
    </w:p>
    <w:p>
      <w:pPr>
        <w:pStyle w:val="ListBullet"/>
      </w:pPr>
      <w:r>
        <w:t>The backend independently validates every token (signature/issuer/audience) and enforces RBAC — authorization is never trusted from the frontend.</w:t>
      </w:r>
    </w:p>
    <w:p>
      <w:pPr>
        <w:pStyle w:val="ListBullet"/>
      </w:pPr>
      <w:r>
        <w:t>offline_access scope is requested so the session can silently refresh; sessions are capped at 8h with a 30-minute idle timeout.</w:t>
      </w:r>
    </w:p>
    <w:p/>
    <w:p>
      <w:pPr>
        <w:jc w:val="center"/>
      </w:pPr>
      <w:r>
        <w:rPr>
          <w:i/>
          <w:color w:val="808080"/>
          <w:sz w:val="18"/>
        </w:rPr>
        <w:t>Expense Management Platform — Entra ID SSO Setup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