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305A9" w14:textId="02AA9267" w:rsidR="00D82499" w:rsidRDefault="00D82499" w:rsidP="00D82499">
      <w:pPr>
        <w:jc w:val="both"/>
        <w:rPr>
          <w:rFonts w:ascii="Arial" w:hAnsi="Arial" w:cs="Arial"/>
          <w:b/>
          <w:bCs/>
        </w:rPr>
      </w:pPr>
    </w:p>
    <w:p w14:paraId="4C5935A7" w14:textId="77777777" w:rsidR="00454236" w:rsidRDefault="00454236" w:rsidP="00D82499">
      <w:pPr>
        <w:jc w:val="both"/>
        <w:rPr>
          <w:rFonts w:ascii="Arial" w:hAnsi="Arial" w:cs="Arial"/>
          <w:b/>
          <w:bCs/>
        </w:rPr>
      </w:pPr>
    </w:p>
    <w:p w14:paraId="15E091AB" w14:textId="77777777" w:rsidR="00454236" w:rsidRDefault="00454236" w:rsidP="00D82499">
      <w:pPr>
        <w:jc w:val="both"/>
        <w:rPr>
          <w:rFonts w:ascii="Arial" w:hAnsi="Arial" w:cs="Arial"/>
          <w:b/>
          <w:bCs/>
        </w:rPr>
      </w:pPr>
    </w:p>
    <w:p w14:paraId="52084500" w14:textId="77777777" w:rsidR="00454236" w:rsidRDefault="00454236" w:rsidP="00D82499">
      <w:pPr>
        <w:jc w:val="both"/>
        <w:rPr>
          <w:rFonts w:ascii="Arial" w:hAnsi="Arial" w:cs="Arial"/>
          <w:b/>
          <w:bCs/>
        </w:rPr>
      </w:pPr>
    </w:p>
    <w:p w14:paraId="56885FC0" w14:textId="77777777" w:rsidR="00454236" w:rsidRDefault="00454236" w:rsidP="00D82499">
      <w:pPr>
        <w:jc w:val="both"/>
        <w:rPr>
          <w:rFonts w:ascii="Arial" w:hAnsi="Arial" w:cs="Arial"/>
          <w:b/>
          <w:bCs/>
        </w:rPr>
      </w:pPr>
    </w:p>
    <w:p w14:paraId="270EECA9" w14:textId="77777777" w:rsidR="00454236" w:rsidRDefault="00454236" w:rsidP="00D82499">
      <w:pPr>
        <w:jc w:val="both"/>
        <w:rPr>
          <w:rFonts w:ascii="Arial" w:hAnsi="Arial" w:cs="Arial"/>
          <w:b/>
          <w:bCs/>
        </w:rPr>
      </w:pPr>
    </w:p>
    <w:p w14:paraId="46E3C280" w14:textId="77777777" w:rsidR="00D82499" w:rsidRDefault="00D82499" w:rsidP="00D82499">
      <w:pPr>
        <w:spacing w:after="0"/>
      </w:pPr>
      <w:r w:rsidRPr="009656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4386EF" wp14:editId="5D9C6639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897880" cy="19050"/>
                <wp:effectExtent l="0" t="19050" r="45720" b="38100"/>
                <wp:wrapNone/>
                <wp:docPr id="8229836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19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FEFA3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4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" strokecolor="#272727 [2749]" strokeweight="4.5pt">
                <v:stroke joinstyle="miter"/>
              </v:line>
            </w:pict>
          </mc:Fallback>
        </mc:AlternateContent>
      </w:r>
    </w:p>
    <w:p w14:paraId="2AA98410" w14:textId="77777777" w:rsidR="00D82499" w:rsidRDefault="00D82499" w:rsidP="00D82499">
      <w:pPr>
        <w:spacing w:after="0"/>
      </w:pPr>
    </w:p>
    <w:p w14:paraId="443C324E" w14:textId="77777777" w:rsidR="00D82499" w:rsidRDefault="00D82499" w:rsidP="00D82499">
      <w:pPr>
        <w:spacing w:after="0"/>
      </w:pPr>
    </w:p>
    <w:p w14:paraId="5462A1AB" w14:textId="77777777" w:rsidR="00D82499" w:rsidRDefault="00D82499" w:rsidP="00D82499">
      <w:pPr>
        <w:spacing w:after="0"/>
      </w:pPr>
    </w:p>
    <w:p w14:paraId="66E0F3F6" w14:textId="77777777" w:rsidR="00D82499" w:rsidRDefault="00D82499" w:rsidP="00D82499">
      <w:pPr>
        <w:spacing w:after="0"/>
      </w:pPr>
    </w:p>
    <w:p w14:paraId="5EFC1236" w14:textId="77777777" w:rsidR="00D82499" w:rsidRDefault="00D82499" w:rsidP="00D82499">
      <w:pPr>
        <w:spacing w:after="0"/>
      </w:pPr>
    </w:p>
    <w:p w14:paraId="07538666" w14:textId="77777777" w:rsidR="00D82499" w:rsidRPr="00B25D61" w:rsidRDefault="00D82499" w:rsidP="00D82499">
      <w:pPr>
        <w:spacing w:after="0"/>
        <w:jc w:val="center"/>
        <w:rPr>
          <w:rFonts w:ascii="Arial" w:hAnsi="Arial" w:cs="Arial"/>
          <w:b/>
          <w:bCs/>
          <w:sz w:val="48"/>
          <w:szCs w:val="48"/>
        </w:rPr>
      </w:pPr>
      <w:r w:rsidRPr="00B25D61">
        <w:rPr>
          <w:rFonts w:ascii="Arial" w:hAnsi="Arial" w:cs="Arial"/>
          <w:b/>
          <w:bCs/>
          <w:sz w:val="48"/>
          <w:szCs w:val="48"/>
        </w:rPr>
        <w:t>Cybersecurity Templates</w:t>
      </w:r>
    </w:p>
    <w:p w14:paraId="2A57B64C" w14:textId="6D3B2363" w:rsidR="00D82499" w:rsidRPr="00B25D61" w:rsidRDefault="00454236" w:rsidP="00D82499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Dat Classification Policy </w:t>
      </w:r>
    </w:p>
    <w:p w14:paraId="01F940C7" w14:textId="77777777" w:rsidR="00D82499" w:rsidRPr="0096563B" w:rsidRDefault="00D82499" w:rsidP="00D82499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5236CA7D" w14:textId="77777777" w:rsidR="00D82499" w:rsidRPr="0096563B" w:rsidRDefault="00D82499" w:rsidP="00D82499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1B030018" w14:textId="77777777" w:rsidR="00D82499" w:rsidRPr="0096563B" w:rsidRDefault="00D82499" w:rsidP="00D82499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5D276BAA" w14:textId="77777777" w:rsidR="00D82499" w:rsidRPr="0096563B" w:rsidRDefault="00D82499" w:rsidP="00D82499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96563B">
        <w:rPr>
          <w:rFonts w:ascii="Arial" w:hAnsi="Arial" w:cs="Arial"/>
          <w:b/>
          <w:bCs/>
          <w:color w:val="000000" w:themeColor="text1"/>
          <w:sz w:val="32"/>
          <w:szCs w:val="32"/>
        </w:rPr>
        <w:t>August 2025</w:t>
      </w:r>
    </w:p>
    <w:p w14:paraId="4C5A3585" w14:textId="77777777" w:rsidR="00D82499" w:rsidRPr="0096563B" w:rsidRDefault="00D82499" w:rsidP="00D82499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3BC40436" w14:textId="77777777" w:rsidR="00D82499" w:rsidRPr="0096563B" w:rsidRDefault="00D82499" w:rsidP="00D82499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69E25DBD" w14:textId="77777777" w:rsidR="00D82499" w:rsidRPr="0096563B" w:rsidRDefault="00D82499" w:rsidP="00D82499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2C32F87F" w14:textId="77777777" w:rsidR="00D82499" w:rsidRPr="00AF0471" w:rsidRDefault="00D82499" w:rsidP="00D82499">
      <w:pPr>
        <w:rPr>
          <w:rFonts w:ascii="Arial" w:hAnsi="Arial" w:cs="Arial"/>
          <w:sz w:val="32"/>
          <w:szCs w:val="32"/>
        </w:rPr>
      </w:pPr>
      <w:r w:rsidRPr="009656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A8C05" wp14:editId="33AA8A90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897880" cy="19050"/>
                <wp:effectExtent l="0" t="19050" r="45720" b="38100"/>
                <wp:wrapNone/>
                <wp:docPr id="7397011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19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06256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4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" strokecolor="#272727 [2749]" strokeweight="4.5pt">
                <v:stroke joinstyle="miter"/>
              </v:line>
            </w:pict>
          </mc:Fallback>
        </mc:AlternateContent>
      </w:r>
      <w:r w:rsidRPr="0096563B">
        <w:rPr>
          <w:rFonts w:ascii="Arial" w:hAnsi="Arial" w:cs="Arial"/>
          <w:sz w:val="32"/>
          <w:szCs w:val="32"/>
        </w:rPr>
        <w:br w:type="page"/>
      </w:r>
    </w:p>
    <w:p w14:paraId="3A73FC00" w14:textId="77777777" w:rsidR="00D82499" w:rsidRDefault="00D82499" w:rsidP="00D82499">
      <w:pPr>
        <w:rPr>
          <w:rFonts w:ascii="Arial" w:hAnsi="Arial" w:cs="Arial"/>
        </w:rPr>
      </w:pPr>
    </w:p>
    <w:p w14:paraId="0E975A01" w14:textId="77777777" w:rsidR="00D82499" w:rsidRDefault="00D82499" w:rsidP="00D82499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-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82499" w:rsidRPr="00DF551E" w14:paraId="2B0307ED" w14:textId="77777777" w:rsidTr="001B1BF5">
        <w:tc>
          <w:tcPr>
            <w:tcW w:w="3116" w:type="dxa"/>
          </w:tcPr>
          <w:p w14:paraId="5F648F36" w14:textId="77777777" w:rsidR="00D82499" w:rsidRPr="00DF551E" w:rsidRDefault="00D82499" w:rsidP="001B1BF5">
            <w:pPr>
              <w:rPr>
                <w:rFonts w:ascii="Arial" w:hAnsi="Arial" w:cs="Arial"/>
                <w:b/>
                <w:bCs/>
              </w:rPr>
            </w:pPr>
            <w:r w:rsidRPr="00DF551E">
              <w:rPr>
                <w:rFonts w:ascii="Arial" w:hAnsi="Arial" w:cs="Arial"/>
                <w:b/>
                <w:bCs/>
              </w:rPr>
              <w:t>Logo</w:t>
            </w:r>
          </w:p>
        </w:tc>
        <w:tc>
          <w:tcPr>
            <w:tcW w:w="3117" w:type="dxa"/>
          </w:tcPr>
          <w:p w14:paraId="2FD6E2F5" w14:textId="77777777" w:rsidR="00D82499" w:rsidRPr="00DF551E" w:rsidRDefault="00D82499" w:rsidP="001B1BF5">
            <w:pPr>
              <w:rPr>
                <w:rFonts w:ascii="Arial" w:hAnsi="Arial" w:cs="Arial"/>
                <w:b/>
                <w:bCs/>
              </w:rPr>
            </w:pPr>
            <w:r w:rsidRPr="00DF551E">
              <w:rPr>
                <w:rFonts w:ascii="Arial" w:hAnsi="Arial" w:cs="Arial"/>
                <w:b/>
                <w:bCs/>
              </w:rPr>
              <w:t>&lt; Company Name&gt;</w:t>
            </w:r>
          </w:p>
        </w:tc>
        <w:tc>
          <w:tcPr>
            <w:tcW w:w="3117" w:type="dxa"/>
          </w:tcPr>
          <w:p w14:paraId="61CDB0C3" w14:textId="77777777" w:rsidR="00D82499" w:rsidRPr="00DF551E" w:rsidRDefault="00D82499" w:rsidP="001B1BF5">
            <w:pPr>
              <w:rPr>
                <w:rFonts w:ascii="Arial" w:hAnsi="Arial" w:cs="Arial"/>
                <w:b/>
                <w:bCs/>
              </w:rPr>
            </w:pPr>
            <w:r w:rsidRPr="00DF551E">
              <w:rPr>
                <w:rFonts w:ascii="Arial" w:hAnsi="Arial" w:cs="Arial"/>
                <w:b/>
                <w:bCs/>
              </w:rPr>
              <w:t>Normal</w:t>
            </w:r>
          </w:p>
        </w:tc>
      </w:tr>
    </w:tbl>
    <w:p w14:paraId="2E53D5D5" w14:textId="77777777" w:rsidR="00D82499" w:rsidRDefault="00D82499" w:rsidP="00D82499">
      <w:pPr>
        <w:spacing w:after="0"/>
        <w:rPr>
          <w:rFonts w:ascii="Arial" w:hAnsi="Arial" w:cs="Arial"/>
        </w:rPr>
      </w:pPr>
    </w:p>
    <w:p w14:paraId="60629058" w14:textId="77777777" w:rsidR="00454236" w:rsidRPr="00DF551E" w:rsidRDefault="00454236" w:rsidP="00D82499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2499" w:rsidRPr="00DF551E" w14:paraId="4B9C2731" w14:textId="77777777" w:rsidTr="001B1BF5">
        <w:tc>
          <w:tcPr>
            <w:tcW w:w="9350" w:type="dxa"/>
            <w:shd w:val="clear" w:color="auto" w:fill="D9D9D9" w:themeFill="background1" w:themeFillShade="D9"/>
          </w:tcPr>
          <w:p w14:paraId="613F11D6" w14:textId="4800C7BC" w:rsidR="00D82499" w:rsidRPr="00DF551E" w:rsidRDefault="00D82499" w:rsidP="001B1BF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Data Classification Policy</w:t>
            </w:r>
          </w:p>
        </w:tc>
      </w:tr>
    </w:tbl>
    <w:p w14:paraId="40986495" w14:textId="77777777" w:rsidR="00D82499" w:rsidRPr="00DF551E" w:rsidRDefault="00D82499" w:rsidP="00D82499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420"/>
        <w:gridCol w:w="2070"/>
        <w:gridCol w:w="2425"/>
      </w:tblGrid>
      <w:tr w:rsidR="00D82499" w:rsidRPr="00DF551E" w14:paraId="2441DCEB" w14:textId="77777777" w:rsidTr="00D82499">
        <w:tc>
          <w:tcPr>
            <w:tcW w:w="1435" w:type="dxa"/>
          </w:tcPr>
          <w:p w14:paraId="3157838B" w14:textId="5BB3127B" w:rsidR="00D82499" w:rsidRPr="00DF551E" w:rsidRDefault="00D82499" w:rsidP="001B1BF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Policy No</w:t>
            </w:r>
            <w:r w:rsidRPr="00DF551E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420" w:type="dxa"/>
          </w:tcPr>
          <w:p w14:paraId="055E360E" w14:textId="31511B92" w:rsidR="00D82499" w:rsidRPr="00DF551E" w:rsidRDefault="00D82499" w:rsidP="001B1BF5">
            <w:pPr>
              <w:rPr>
                <w:rFonts w:ascii="Arial" w:hAnsi="Arial" w:cs="Arial"/>
              </w:rPr>
            </w:pPr>
            <w:r w:rsidRPr="007A175B">
              <w:rPr>
                <w:rFonts w:ascii="Arial" w:hAnsi="Arial" w:cs="Arial"/>
              </w:rPr>
              <w:t>[Assign Number]</w:t>
            </w:r>
          </w:p>
        </w:tc>
        <w:tc>
          <w:tcPr>
            <w:tcW w:w="2070" w:type="dxa"/>
          </w:tcPr>
          <w:p w14:paraId="0A4C604D" w14:textId="38DD60ED" w:rsidR="00D82499" w:rsidRPr="00DF551E" w:rsidRDefault="00D82499" w:rsidP="001B1BF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Effective Date</w:t>
            </w:r>
            <w:r w:rsidRPr="00DF551E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425" w:type="dxa"/>
          </w:tcPr>
          <w:p w14:paraId="2F1719B4" w14:textId="08BA4E83" w:rsidR="00D82499" w:rsidRPr="00DF551E" w:rsidRDefault="00D82499" w:rsidP="001B1BF5">
            <w:pPr>
              <w:rPr>
                <w:rFonts w:ascii="Arial" w:hAnsi="Arial" w:cs="Arial"/>
              </w:rPr>
            </w:pPr>
            <w:r w:rsidRPr="007A175B">
              <w:rPr>
                <w:rFonts w:ascii="Arial" w:hAnsi="Arial" w:cs="Arial"/>
              </w:rPr>
              <w:t>[Insert Date]</w:t>
            </w:r>
          </w:p>
        </w:tc>
      </w:tr>
      <w:tr w:rsidR="00D82499" w:rsidRPr="00DF551E" w14:paraId="73B3D0C0" w14:textId="77777777" w:rsidTr="00D82499">
        <w:tc>
          <w:tcPr>
            <w:tcW w:w="1435" w:type="dxa"/>
          </w:tcPr>
          <w:p w14:paraId="0DC4E4A3" w14:textId="269A3B5B" w:rsidR="00D82499" w:rsidRPr="00DF551E" w:rsidRDefault="00D82499" w:rsidP="001B1BF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Owner</w:t>
            </w:r>
            <w:r w:rsidRPr="00DF551E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420" w:type="dxa"/>
          </w:tcPr>
          <w:p w14:paraId="5583FCB5" w14:textId="177A2608" w:rsidR="00D82499" w:rsidRPr="00DF551E" w:rsidRDefault="00D82499" w:rsidP="001B1BF5">
            <w:pPr>
              <w:rPr>
                <w:rFonts w:ascii="Arial" w:hAnsi="Arial" w:cs="Arial"/>
              </w:rPr>
            </w:pPr>
            <w:r w:rsidRPr="007A175B">
              <w:rPr>
                <w:rFonts w:ascii="Arial" w:hAnsi="Arial" w:cs="Arial"/>
              </w:rPr>
              <w:t>[CISO / IT Security Manager]</w:t>
            </w:r>
          </w:p>
        </w:tc>
        <w:tc>
          <w:tcPr>
            <w:tcW w:w="2070" w:type="dxa"/>
          </w:tcPr>
          <w:p w14:paraId="43828E23" w14:textId="72B8C153" w:rsidR="00D82499" w:rsidRPr="00DF551E" w:rsidRDefault="00D82499" w:rsidP="001B1BF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Review Cycle</w:t>
            </w:r>
            <w:r w:rsidRPr="00DF551E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425" w:type="dxa"/>
          </w:tcPr>
          <w:p w14:paraId="02939B27" w14:textId="60A11813" w:rsidR="00D82499" w:rsidRPr="00DF551E" w:rsidRDefault="00D82499" w:rsidP="001B1BF5">
            <w:pPr>
              <w:rPr>
                <w:rFonts w:ascii="Arial" w:hAnsi="Arial" w:cs="Arial"/>
              </w:rPr>
            </w:pPr>
            <w:r w:rsidRPr="007A175B">
              <w:rPr>
                <w:rFonts w:ascii="Arial" w:hAnsi="Arial" w:cs="Arial"/>
              </w:rPr>
              <w:t>[Annual / Biennial]</w:t>
            </w:r>
          </w:p>
        </w:tc>
      </w:tr>
    </w:tbl>
    <w:p w14:paraId="545C4EB0" w14:textId="77777777" w:rsidR="00D82499" w:rsidRPr="005A1202" w:rsidRDefault="00D82499" w:rsidP="00D82499">
      <w:pPr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9743994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73AC65" w14:textId="0089BC50" w:rsidR="00D82499" w:rsidRPr="00454236" w:rsidRDefault="00D82499" w:rsidP="00454236">
          <w:pPr>
            <w:pStyle w:val="TOCHeading"/>
            <w:jc w:val="center"/>
            <w:rPr>
              <w:color w:val="auto"/>
            </w:rPr>
          </w:pPr>
          <w:r w:rsidRPr="00454236">
            <w:rPr>
              <w:color w:val="auto"/>
            </w:rPr>
            <w:t>Contents</w:t>
          </w:r>
        </w:p>
        <w:p w14:paraId="745AA28F" w14:textId="11FBE568" w:rsidR="00D82499" w:rsidRPr="00454236" w:rsidRDefault="00D82499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016823" w:history="1">
            <w:r w:rsidRPr="00242D1D">
              <w:rPr>
                <w:rStyle w:val="Hyperlink"/>
                <w:noProof/>
              </w:rPr>
              <w:t>Data Classification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_Toc207016823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B4142" w14:textId="1C38830D" w:rsidR="00D82499" w:rsidRDefault="00D824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16824" w:history="1">
            <w:r w:rsidRPr="00242D1D">
              <w:rPr>
                <w:rStyle w:val="Hyperlink"/>
                <w:noProof/>
              </w:rPr>
              <w:t>1.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_Toc207016824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35DD0" w14:textId="3D81D846" w:rsidR="00D82499" w:rsidRDefault="00D824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16825" w:history="1">
            <w:r w:rsidRPr="00242D1D">
              <w:rPr>
                <w:rStyle w:val="Hyperlink"/>
                <w:noProof/>
              </w:rPr>
              <w:t>2. Authority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_Toc207016825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2D06C" w14:textId="36E992A1" w:rsidR="00D82499" w:rsidRDefault="00D824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16826" w:history="1">
            <w:r w:rsidRPr="00242D1D">
              <w:rPr>
                <w:rStyle w:val="Hyperlink"/>
                <w:noProof/>
              </w:rPr>
              <w:t>3.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_Toc207016826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2B399" w14:textId="70D4BC0E" w:rsidR="00D82499" w:rsidRDefault="00D824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16827" w:history="1">
            <w:r w:rsidRPr="00242D1D">
              <w:rPr>
                <w:rStyle w:val="Hyperlink"/>
                <w:noProof/>
              </w:rPr>
              <w:t>4. Policy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_Toc207016827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0D1DF" w14:textId="166E4199" w:rsidR="00D82499" w:rsidRDefault="00D824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16828" w:history="1">
            <w:r w:rsidRPr="00242D1D">
              <w:rPr>
                <w:rStyle w:val="Hyperlink"/>
                <w:noProof/>
              </w:rPr>
              <w:t>4.1 Classification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_Toc207016828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010F5" w14:textId="41E7BD75" w:rsidR="00D82499" w:rsidRDefault="00D824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16829" w:history="1">
            <w:r w:rsidRPr="00242D1D">
              <w:rPr>
                <w:rStyle w:val="Hyperlink"/>
                <w:noProof/>
              </w:rPr>
              <w:t>4.2 Data Classification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_Toc207016829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762A5" w14:textId="519ECFF5" w:rsidR="00D82499" w:rsidRDefault="00D824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16830" w:history="1">
            <w:r w:rsidRPr="00242D1D">
              <w:rPr>
                <w:rStyle w:val="Hyperlink"/>
                <w:noProof/>
              </w:rPr>
              <w:t>5. 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_Toc207016830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00D0A" w14:textId="1DD57E59" w:rsidR="00D82499" w:rsidRDefault="00D824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16831" w:history="1">
            <w:r w:rsidRPr="00242D1D">
              <w:rPr>
                <w:rStyle w:val="Hyperlink"/>
                <w:noProof/>
              </w:rPr>
              <w:t>6. Data Classification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_Toc207016831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0FBD8" w14:textId="618B1C9B" w:rsidR="00D82499" w:rsidRDefault="00D824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16832" w:history="1">
            <w:r w:rsidRPr="00242D1D">
              <w:rPr>
                <w:rStyle w:val="Hyperlink"/>
                <w:noProof/>
              </w:rPr>
              <w:t>7.Handling &amp; Control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_Toc207016832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A64B0" w14:textId="0249A99E" w:rsidR="00D82499" w:rsidRDefault="00D824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16833" w:history="1">
            <w:r w:rsidRPr="00242D1D">
              <w:rPr>
                <w:rStyle w:val="Hyperlink"/>
                <w:noProof/>
              </w:rPr>
              <w:t>8. Labeling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_Toc207016833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58EE8" w14:textId="1F65D4E6" w:rsidR="00D82499" w:rsidRDefault="00D824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16834" w:history="1">
            <w:r w:rsidRPr="00242D1D">
              <w:rPr>
                <w:rStyle w:val="Hyperlink"/>
                <w:noProof/>
              </w:rPr>
              <w:t>9. Third-Party Data Sharing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_Toc207016834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7FB06" w14:textId="010EFDC6" w:rsidR="00D82499" w:rsidRDefault="00D824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16835" w:history="1">
            <w:r w:rsidRPr="00242D1D">
              <w:rPr>
                <w:rStyle w:val="Hyperlink"/>
                <w:noProof/>
              </w:rPr>
              <w:t>10. Training and Awareness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_Toc207016835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5FD7B" w14:textId="6BFD7164" w:rsidR="00D82499" w:rsidRDefault="00D824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16836" w:history="1">
            <w:r w:rsidRPr="00242D1D">
              <w:rPr>
                <w:rStyle w:val="Hyperlink"/>
                <w:noProof/>
              </w:rPr>
              <w:t>11. Compliance and 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_Toc207016836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A4289" w14:textId="5088FEE1" w:rsidR="00D82499" w:rsidRDefault="00D824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16837" w:history="1">
            <w:r w:rsidRPr="00242D1D">
              <w:rPr>
                <w:rStyle w:val="Hyperlink"/>
                <w:noProof/>
              </w:rPr>
              <w:t>12. Metrics and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_Toc207016837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735FF" w14:textId="4444AA79" w:rsidR="00D82499" w:rsidRDefault="00D824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16838" w:history="1">
            <w:r w:rsidRPr="00242D1D">
              <w:rPr>
                <w:rStyle w:val="Hyperlink"/>
                <w:noProof/>
              </w:rPr>
              <w:t>13.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_Toc207016838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F4243" w14:textId="31E03859" w:rsidR="00D82499" w:rsidRDefault="00D824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16839" w:history="1">
            <w:r w:rsidRPr="00242D1D">
              <w:rPr>
                <w:rStyle w:val="Hyperlink"/>
                <w:noProof/>
              </w:rPr>
              <w:t>14. Related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_Toc207016839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E013F" w14:textId="5131D09F" w:rsidR="00D82499" w:rsidRDefault="00D824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16840" w:history="1">
            <w:r w:rsidRPr="00242D1D">
              <w:rPr>
                <w:rStyle w:val="Hyperlink"/>
                <w:noProof/>
              </w:rPr>
              <w:t>15. 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_Toc207016840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29FDB" w14:textId="208EDD16" w:rsidR="00D82499" w:rsidRDefault="00D824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16841" w:history="1">
            <w:r w:rsidRPr="00242D1D">
              <w:rPr>
                <w:rStyle w:val="Hyperlink"/>
                <w:noProof/>
              </w:rPr>
              <w:t>Appendix A – Always Restricted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_Toc207016841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B89D1" w14:textId="3FEE494C" w:rsidR="00D82499" w:rsidRDefault="00D824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16842" w:history="1">
            <w:r w:rsidRPr="00242D1D">
              <w:rPr>
                <w:rStyle w:val="Hyperlink"/>
                <w:noProof/>
              </w:rPr>
              <w:t>Appendix B – Data Inventory Register (Sample Fields)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_Toc207016842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9680C" w14:textId="5EC32164" w:rsidR="00D82499" w:rsidRDefault="00D82499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04561DDD" w14:textId="77777777" w:rsidR="00D82499" w:rsidRDefault="00D82499" w:rsidP="00D82499">
      <w:pPr>
        <w:jc w:val="both"/>
        <w:rPr>
          <w:rFonts w:ascii="Arial" w:hAnsi="Arial" w:cs="Arial"/>
          <w:b/>
          <w:bCs/>
        </w:rPr>
      </w:pPr>
    </w:p>
    <w:p w14:paraId="64AFC9F6" w14:textId="526FED06" w:rsidR="00D82499" w:rsidRDefault="00D82499" w:rsidP="00454236">
      <w:pPr>
        <w:pStyle w:val="Heading1"/>
      </w:pPr>
      <w:bookmarkStart w:id="0" w:name="_Toc207016823"/>
      <w:r>
        <w:t>Data Classification Policy</w:t>
      </w:r>
      <w:bookmarkEnd w:id="0"/>
    </w:p>
    <w:p w14:paraId="682F43E7" w14:textId="77777777" w:rsidR="007A175B" w:rsidRPr="007A175B" w:rsidRDefault="007A175B" w:rsidP="00454236">
      <w:pPr>
        <w:pStyle w:val="Heading1"/>
      </w:pPr>
      <w:bookmarkStart w:id="1" w:name="_Toc207016824"/>
      <w:r w:rsidRPr="007A175B">
        <w:t>1. Purpose</w:t>
      </w:r>
      <w:bookmarkEnd w:id="1"/>
    </w:p>
    <w:p w14:paraId="3B89D641" w14:textId="63E5E176" w:rsidR="007A175B" w:rsidRPr="007A175B" w:rsidRDefault="007A175B" w:rsidP="00D82499">
      <w:pPr>
        <w:jc w:val="both"/>
        <w:rPr>
          <w:rFonts w:ascii="Arial" w:hAnsi="Arial" w:cs="Arial"/>
        </w:rPr>
      </w:pPr>
      <w:r w:rsidRPr="007A175B">
        <w:rPr>
          <w:rFonts w:ascii="Arial" w:hAnsi="Arial" w:cs="Arial"/>
        </w:rPr>
        <w:t xml:space="preserve">This policy establishes a standardized framework for classifying organizational data based on sensitivity, value, and criticality. Its goal is to ensure that sensitive, confidential, and regulated information is </w:t>
      </w:r>
      <w:r w:rsidR="00D82499">
        <w:rPr>
          <w:rFonts w:ascii="Arial" w:hAnsi="Arial" w:cs="Arial"/>
        </w:rPr>
        <w:t>consistently</w:t>
      </w:r>
      <w:r w:rsidRPr="007A175B">
        <w:rPr>
          <w:rFonts w:ascii="Arial" w:hAnsi="Arial" w:cs="Arial"/>
        </w:rPr>
        <w:t xml:space="preserve"> protected, while enabling appropriate use, sharing, and compliance with legal, contractual, and regulatory obligations.</w:t>
      </w:r>
    </w:p>
    <w:p w14:paraId="31ED45DE" w14:textId="77777777" w:rsidR="007A175B" w:rsidRPr="007A175B" w:rsidRDefault="007A175B" w:rsidP="00454236">
      <w:pPr>
        <w:pStyle w:val="Heading1"/>
      </w:pPr>
      <w:bookmarkStart w:id="2" w:name="_Toc207016825"/>
      <w:r w:rsidRPr="007A175B">
        <w:t>2. Authority</w:t>
      </w:r>
      <w:bookmarkEnd w:id="2"/>
    </w:p>
    <w:p w14:paraId="2D993FB2" w14:textId="0507572B" w:rsidR="007A175B" w:rsidRPr="007A175B" w:rsidRDefault="007A175B" w:rsidP="00D82499">
      <w:pPr>
        <w:jc w:val="both"/>
        <w:rPr>
          <w:rFonts w:ascii="Arial" w:hAnsi="Arial" w:cs="Arial"/>
        </w:rPr>
      </w:pPr>
      <w:r w:rsidRPr="007A175B">
        <w:rPr>
          <w:rFonts w:ascii="Arial" w:hAnsi="Arial" w:cs="Arial"/>
        </w:rPr>
        <w:t>This policy is issued under the authority of [Organization Name]’s Information Security Program and is aligned with applicable regulations (e.g., GDPR, HIPAA, PCI DSS, state/federal laws).</w:t>
      </w:r>
    </w:p>
    <w:p w14:paraId="6B2D5CC3" w14:textId="77777777" w:rsidR="007A175B" w:rsidRPr="007A175B" w:rsidRDefault="007A175B" w:rsidP="00454236">
      <w:pPr>
        <w:pStyle w:val="Heading1"/>
      </w:pPr>
      <w:bookmarkStart w:id="3" w:name="_Toc207016826"/>
      <w:r w:rsidRPr="007A175B">
        <w:t>3. Scope</w:t>
      </w:r>
      <w:bookmarkEnd w:id="3"/>
    </w:p>
    <w:p w14:paraId="464CA185" w14:textId="77777777" w:rsidR="007A175B" w:rsidRPr="007A175B" w:rsidRDefault="007A175B" w:rsidP="00D82499">
      <w:pPr>
        <w:jc w:val="both"/>
        <w:rPr>
          <w:rFonts w:ascii="Arial" w:hAnsi="Arial" w:cs="Arial"/>
        </w:rPr>
      </w:pPr>
      <w:r w:rsidRPr="007A175B">
        <w:rPr>
          <w:rFonts w:ascii="Arial" w:hAnsi="Arial" w:cs="Arial"/>
        </w:rPr>
        <w:t>This policy applies to:</w:t>
      </w:r>
    </w:p>
    <w:p w14:paraId="04DD4EC0" w14:textId="77777777" w:rsidR="007A175B" w:rsidRPr="00D82499" w:rsidRDefault="007A175B" w:rsidP="00D82499"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 w:rsidRPr="00D82499">
        <w:rPr>
          <w:rFonts w:ascii="Arial" w:hAnsi="Arial" w:cs="Arial"/>
        </w:rPr>
        <w:t>All forms of data: electronic, paper, voice recordings, images, and backups.</w:t>
      </w:r>
    </w:p>
    <w:p w14:paraId="3922D0A6" w14:textId="77777777" w:rsidR="007A175B" w:rsidRPr="00D82499" w:rsidRDefault="007A175B" w:rsidP="00D82499"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 w:rsidRPr="00D82499">
        <w:rPr>
          <w:rFonts w:ascii="Arial" w:hAnsi="Arial" w:cs="Arial"/>
        </w:rPr>
        <w:t>All systems, applications, networks, and services owned, leased, or managed by the organization.</w:t>
      </w:r>
    </w:p>
    <w:p w14:paraId="52A6EF56" w14:textId="3DEF957D" w:rsidR="007A175B" w:rsidRPr="00D82499" w:rsidRDefault="007A175B" w:rsidP="00D82499"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 w:rsidRPr="00D82499">
        <w:rPr>
          <w:rFonts w:ascii="Arial" w:hAnsi="Arial" w:cs="Arial"/>
        </w:rPr>
        <w:t>All employees, contractors, consultants, interns, and third parties with authorized access.</w:t>
      </w:r>
    </w:p>
    <w:p w14:paraId="69388B95" w14:textId="77777777" w:rsidR="007A175B" w:rsidRPr="007A175B" w:rsidRDefault="007A175B" w:rsidP="00454236">
      <w:pPr>
        <w:pStyle w:val="Heading1"/>
      </w:pPr>
      <w:bookmarkStart w:id="4" w:name="_Toc207016827"/>
      <w:r w:rsidRPr="007A175B">
        <w:t>4. Policy Statements</w:t>
      </w:r>
      <w:bookmarkEnd w:id="4"/>
    </w:p>
    <w:p w14:paraId="394FCF10" w14:textId="77777777" w:rsidR="007A175B" w:rsidRPr="007A175B" w:rsidRDefault="007A175B" w:rsidP="00D82499">
      <w:pPr>
        <w:pStyle w:val="Heading2"/>
        <w:jc w:val="both"/>
      </w:pPr>
      <w:bookmarkStart w:id="5" w:name="_Toc207016828"/>
      <w:r w:rsidRPr="007A175B">
        <w:t>4.1 Classification Principles</w:t>
      </w:r>
      <w:bookmarkEnd w:id="5"/>
    </w:p>
    <w:p w14:paraId="45C75CEC" w14:textId="77777777" w:rsidR="007A175B" w:rsidRPr="00D82499" w:rsidRDefault="007A175B" w:rsidP="00D82499"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 w:rsidRPr="00D82499">
        <w:rPr>
          <w:rFonts w:ascii="Arial" w:hAnsi="Arial" w:cs="Arial"/>
        </w:rPr>
        <w:t xml:space="preserve">All information assets must be classified according to </w:t>
      </w:r>
      <w:r w:rsidRPr="00D82499">
        <w:rPr>
          <w:rFonts w:ascii="Arial" w:hAnsi="Arial" w:cs="Arial"/>
          <w:b/>
          <w:bCs/>
        </w:rPr>
        <w:t>Confidentiality, Integrity, and Availability (CIA)</w:t>
      </w:r>
      <w:r w:rsidRPr="00D82499">
        <w:rPr>
          <w:rFonts w:ascii="Arial" w:hAnsi="Arial" w:cs="Arial"/>
        </w:rPr>
        <w:t xml:space="preserve"> requirements.</w:t>
      </w:r>
    </w:p>
    <w:p w14:paraId="0C44A7D9" w14:textId="77777777" w:rsidR="007A175B" w:rsidRPr="00D82499" w:rsidRDefault="007A175B" w:rsidP="00D82499"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 w:rsidRPr="00D82499">
        <w:rPr>
          <w:rFonts w:ascii="Arial" w:hAnsi="Arial" w:cs="Arial"/>
        </w:rPr>
        <w:t xml:space="preserve">The </w:t>
      </w:r>
      <w:r w:rsidRPr="00D82499">
        <w:rPr>
          <w:rFonts w:ascii="Arial" w:hAnsi="Arial" w:cs="Arial"/>
          <w:b/>
          <w:bCs/>
        </w:rPr>
        <w:t>highest rating</w:t>
      </w:r>
      <w:r w:rsidRPr="00D82499">
        <w:rPr>
          <w:rFonts w:ascii="Arial" w:hAnsi="Arial" w:cs="Arial"/>
        </w:rPr>
        <w:t xml:space="preserve"> across </w:t>
      </w:r>
      <w:proofErr w:type="gramStart"/>
      <w:r w:rsidRPr="00D82499">
        <w:rPr>
          <w:rFonts w:ascii="Arial" w:hAnsi="Arial" w:cs="Arial"/>
        </w:rPr>
        <w:t>CIA dimensions</w:t>
      </w:r>
      <w:proofErr w:type="gramEnd"/>
      <w:r w:rsidRPr="00D82499">
        <w:rPr>
          <w:rFonts w:ascii="Arial" w:hAnsi="Arial" w:cs="Arial"/>
        </w:rPr>
        <w:t xml:space="preserve"> determines the overall classification level.</w:t>
      </w:r>
    </w:p>
    <w:p w14:paraId="40E7E8B4" w14:textId="77777777" w:rsidR="007A175B" w:rsidRPr="00D82499" w:rsidRDefault="007A175B" w:rsidP="00D82499"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 w:rsidRPr="00D82499">
        <w:rPr>
          <w:rFonts w:ascii="Arial" w:hAnsi="Arial" w:cs="Arial"/>
        </w:rPr>
        <w:t>Classification must be applied at creation and reviewed periodically.</w:t>
      </w:r>
    </w:p>
    <w:p w14:paraId="1BD71610" w14:textId="77777777" w:rsidR="007A175B" w:rsidRPr="00D82499" w:rsidRDefault="007A175B" w:rsidP="00D82499"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 w:rsidRPr="00D82499">
        <w:rPr>
          <w:rFonts w:ascii="Arial" w:hAnsi="Arial" w:cs="Arial"/>
        </w:rPr>
        <w:t>Information retains its classification throughout its lifecycle, including storage, transmission, sharing, and disposal.</w:t>
      </w:r>
    </w:p>
    <w:p w14:paraId="25762108" w14:textId="77777777" w:rsidR="007A175B" w:rsidRPr="007A175B" w:rsidRDefault="007A175B" w:rsidP="00D82499">
      <w:pPr>
        <w:pStyle w:val="Heading2"/>
        <w:jc w:val="both"/>
      </w:pPr>
      <w:bookmarkStart w:id="6" w:name="_Toc207016829"/>
      <w:r w:rsidRPr="007A175B">
        <w:lastRenderedPageBreak/>
        <w:t>4.2 Data Classification Levels</w:t>
      </w:r>
      <w:bookmarkEnd w:id="6"/>
    </w:p>
    <w:p w14:paraId="3FDDF2BE" w14:textId="77777777" w:rsidR="007A175B" w:rsidRPr="007A175B" w:rsidRDefault="007A175B" w:rsidP="00D82499">
      <w:pPr>
        <w:jc w:val="both"/>
        <w:rPr>
          <w:rFonts w:ascii="Arial" w:hAnsi="Arial" w:cs="Arial"/>
        </w:rPr>
      </w:pPr>
      <w:r w:rsidRPr="007A175B">
        <w:rPr>
          <w:rFonts w:ascii="Arial" w:hAnsi="Arial" w:cs="Arial"/>
          <w:b/>
          <w:bCs/>
        </w:rPr>
        <w:t>a. Public</w:t>
      </w:r>
    </w:p>
    <w:p w14:paraId="40B63DC3" w14:textId="77777777" w:rsidR="007A175B" w:rsidRPr="00D82499" w:rsidRDefault="007A175B" w:rsidP="00D82499">
      <w:pPr>
        <w:pStyle w:val="ListParagraph"/>
        <w:numPr>
          <w:ilvl w:val="0"/>
          <w:numId w:val="36"/>
        </w:numPr>
        <w:jc w:val="both"/>
        <w:rPr>
          <w:rFonts w:ascii="Arial" w:hAnsi="Arial" w:cs="Arial"/>
        </w:rPr>
      </w:pPr>
      <w:r w:rsidRPr="00D82499">
        <w:rPr>
          <w:rFonts w:ascii="Arial" w:hAnsi="Arial" w:cs="Arial"/>
        </w:rPr>
        <w:t>Definition: Information approved for public release with no adverse impact if disclosed.</w:t>
      </w:r>
    </w:p>
    <w:p w14:paraId="2A6C3A68" w14:textId="77777777" w:rsidR="007A175B" w:rsidRPr="00D82499" w:rsidRDefault="007A175B" w:rsidP="00D82499">
      <w:pPr>
        <w:pStyle w:val="ListParagraph"/>
        <w:numPr>
          <w:ilvl w:val="0"/>
          <w:numId w:val="36"/>
        </w:numPr>
        <w:jc w:val="both"/>
        <w:rPr>
          <w:rFonts w:ascii="Arial" w:hAnsi="Arial" w:cs="Arial"/>
        </w:rPr>
      </w:pPr>
      <w:r w:rsidRPr="00D82499">
        <w:rPr>
          <w:rFonts w:ascii="Arial" w:hAnsi="Arial" w:cs="Arial"/>
        </w:rPr>
        <w:t>Examples: Press releases, published reports, website content.</w:t>
      </w:r>
    </w:p>
    <w:p w14:paraId="15097616" w14:textId="77777777" w:rsidR="007A175B" w:rsidRPr="00D82499" w:rsidRDefault="007A175B" w:rsidP="00D82499">
      <w:pPr>
        <w:pStyle w:val="ListParagraph"/>
        <w:numPr>
          <w:ilvl w:val="0"/>
          <w:numId w:val="36"/>
        </w:numPr>
        <w:jc w:val="both"/>
        <w:rPr>
          <w:rFonts w:ascii="Arial" w:hAnsi="Arial" w:cs="Arial"/>
        </w:rPr>
      </w:pPr>
      <w:r w:rsidRPr="00D82499">
        <w:rPr>
          <w:rFonts w:ascii="Arial" w:hAnsi="Arial" w:cs="Arial"/>
        </w:rPr>
        <w:t>Controls: No restrictions, but accuracy and integrity must be maintained.</w:t>
      </w:r>
    </w:p>
    <w:p w14:paraId="2703D65A" w14:textId="77777777" w:rsidR="007A175B" w:rsidRPr="007A175B" w:rsidRDefault="007A175B" w:rsidP="00D82499">
      <w:pPr>
        <w:jc w:val="both"/>
        <w:rPr>
          <w:rFonts w:ascii="Arial" w:hAnsi="Arial" w:cs="Arial"/>
        </w:rPr>
      </w:pPr>
      <w:r w:rsidRPr="007A175B">
        <w:rPr>
          <w:rFonts w:ascii="Arial" w:hAnsi="Arial" w:cs="Arial"/>
          <w:b/>
          <w:bCs/>
        </w:rPr>
        <w:t>b. Internal (Sensitive)</w:t>
      </w:r>
    </w:p>
    <w:p w14:paraId="5943028D" w14:textId="77777777" w:rsidR="007A175B" w:rsidRPr="00D82499" w:rsidRDefault="007A175B" w:rsidP="00D82499"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r w:rsidRPr="00D82499">
        <w:rPr>
          <w:rFonts w:ascii="Arial" w:hAnsi="Arial" w:cs="Arial"/>
        </w:rPr>
        <w:t>Definition: Information intended for internal use; unauthorized disclosure could cause limited harm.</w:t>
      </w:r>
    </w:p>
    <w:p w14:paraId="7AC5BC7A" w14:textId="77777777" w:rsidR="007A175B" w:rsidRPr="00D82499" w:rsidRDefault="007A175B" w:rsidP="00D82499"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r w:rsidRPr="00D82499">
        <w:rPr>
          <w:rFonts w:ascii="Arial" w:hAnsi="Arial" w:cs="Arial"/>
        </w:rPr>
        <w:t>Examples: Internal memos, operational procedures, non-sensitive project data.</w:t>
      </w:r>
    </w:p>
    <w:p w14:paraId="0EDC8BAF" w14:textId="77777777" w:rsidR="007A175B" w:rsidRPr="00D82499" w:rsidRDefault="007A175B" w:rsidP="00D82499"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r w:rsidRPr="00D82499">
        <w:rPr>
          <w:rFonts w:ascii="Arial" w:hAnsi="Arial" w:cs="Arial"/>
        </w:rPr>
        <w:t>Controls: Access restricted to employees/authorized users.</w:t>
      </w:r>
    </w:p>
    <w:p w14:paraId="3DE779B0" w14:textId="77777777" w:rsidR="007A175B" w:rsidRPr="007A175B" w:rsidRDefault="007A175B" w:rsidP="00D82499">
      <w:pPr>
        <w:jc w:val="both"/>
        <w:rPr>
          <w:rFonts w:ascii="Arial" w:hAnsi="Arial" w:cs="Arial"/>
        </w:rPr>
      </w:pPr>
      <w:r w:rsidRPr="007A175B">
        <w:rPr>
          <w:rFonts w:ascii="Arial" w:hAnsi="Arial" w:cs="Arial"/>
          <w:b/>
          <w:bCs/>
        </w:rPr>
        <w:t>c. Confidential</w:t>
      </w:r>
    </w:p>
    <w:p w14:paraId="743428DB" w14:textId="77777777" w:rsidR="007A175B" w:rsidRPr="00D82499" w:rsidRDefault="007A175B" w:rsidP="00D82499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D82499">
        <w:rPr>
          <w:rFonts w:ascii="Arial" w:hAnsi="Arial" w:cs="Arial"/>
        </w:rPr>
        <w:t>Definition: Information requiring strong safeguards; unauthorized disclosure could cause significant financial, legal, or reputational harm.</w:t>
      </w:r>
    </w:p>
    <w:p w14:paraId="1010442F" w14:textId="77777777" w:rsidR="007A175B" w:rsidRPr="00D82499" w:rsidRDefault="007A175B" w:rsidP="00D82499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D82499">
        <w:rPr>
          <w:rFonts w:ascii="Arial" w:hAnsi="Arial" w:cs="Arial"/>
        </w:rPr>
        <w:t>Examples: Customer contracts, HR records, intellectual property.</w:t>
      </w:r>
    </w:p>
    <w:p w14:paraId="5B1484D5" w14:textId="39F10A3F" w:rsidR="007A175B" w:rsidRPr="00D82499" w:rsidRDefault="007A175B" w:rsidP="00D82499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D82499">
        <w:rPr>
          <w:rFonts w:ascii="Arial" w:hAnsi="Arial" w:cs="Arial"/>
        </w:rPr>
        <w:t xml:space="preserve">Controls: Encryption in transit and at rest, strict access control, </w:t>
      </w:r>
      <w:r w:rsidR="00D82499" w:rsidRPr="00D82499">
        <w:rPr>
          <w:rFonts w:ascii="Arial" w:hAnsi="Arial" w:cs="Arial"/>
        </w:rPr>
        <w:t xml:space="preserve">and </w:t>
      </w:r>
      <w:r w:rsidRPr="00D82499">
        <w:rPr>
          <w:rFonts w:ascii="Arial" w:hAnsi="Arial" w:cs="Arial"/>
        </w:rPr>
        <w:t>monitoring.</w:t>
      </w:r>
    </w:p>
    <w:p w14:paraId="3D38BD57" w14:textId="77777777" w:rsidR="007A175B" w:rsidRPr="007A175B" w:rsidRDefault="007A175B" w:rsidP="00D82499">
      <w:pPr>
        <w:jc w:val="both"/>
        <w:rPr>
          <w:rFonts w:ascii="Arial" w:hAnsi="Arial" w:cs="Arial"/>
        </w:rPr>
      </w:pPr>
      <w:r w:rsidRPr="007A175B">
        <w:rPr>
          <w:rFonts w:ascii="Arial" w:hAnsi="Arial" w:cs="Arial"/>
          <w:b/>
          <w:bCs/>
        </w:rPr>
        <w:t>d. Restricted / Regulated</w:t>
      </w:r>
    </w:p>
    <w:p w14:paraId="44C483E7" w14:textId="77777777" w:rsidR="007A175B" w:rsidRPr="00D82499" w:rsidRDefault="007A175B" w:rsidP="00D82499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D82499">
        <w:rPr>
          <w:rFonts w:ascii="Arial" w:hAnsi="Arial" w:cs="Arial"/>
        </w:rPr>
        <w:t>Definition: Highly sensitive data regulated by law or contractual agreement; disclosure could cause severe harm.</w:t>
      </w:r>
    </w:p>
    <w:p w14:paraId="420511D4" w14:textId="77777777" w:rsidR="007A175B" w:rsidRPr="00D82499" w:rsidRDefault="007A175B" w:rsidP="00D82499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D82499">
        <w:rPr>
          <w:rFonts w:ascii="Arial" w:hAnsi="Arial" w:cs="Arial"/>
        </w:rPr>
        <w:t>Examples: PII/PHI, PCI data, authentication secrets, legal case files.</w:t>
      </w:r>
    </w:p>
    <w:p w14:paraId="5DB752B6" w14:textId="47FDB381" w:rsidR="007A175B" w:rsidRPr="00454236" w:rsidRDefault="007A175B" w:rsidP="00D82499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D82499">
        <w:rPr>
          <w:rFonts w:ascii="Arial" w:hAnsi="Arial" w:cs="Arial"/>
        </w:rPr>
        <w:t xml:space="preserve">Controls: Strong encryption, MFA access, logging, DLP, contractual </w:t>
      </w:r>
      <w:proofErr w:type="gramStart"/>
      <w:r w:rsidRPr="00D82499">
        <w:rPr>
          <w:rFonts w:ascii="Arial" w:hAnsi="Arial" w:cs="Arial"/>
        </w:rPr>
        <w:t>protections</w:t>
      </w:r>
      <w:proofErr w:type="gramEnd"/>
      <w:r w:rsidRPr="00D82499">
        <w:rPr>
          <w:rFonts w:ascii="Arial" w:hAnsi="Arial" w:cs="Arial"/>
        </w:rPr>
        <w:t>.</w:t>
      </w:r>
    </w:p>
    <w:p w14:paraId="5CECEDB4" w14:textId="77777777" w:rsidR="007A175B" w:rsidRPr="007A175B" w:rsidRDefault="007A175B" w:rsidP="00454236">
      <w:pPr>
        <w:pStyle w:val="Heading1"/>
      </w:pPr>
      <w:bookmarkStart w:id="7" w:name="_Toc207016830"/>
      <w:r w:rsidRPr="007A175B">
        <w:t>5. Roles and Responsibilities</w:t>
      </w:r>
      <w:bookmarkEnd w:id="7"/>
    </w:p>
    <w:p w14:paraId="0867E737" w14:textId="77777777" w:rsidR="007A175B" w:rsidRPr="00D82499" w:rsidRDefault="007A175B" w:rsidP="00D82499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D82499">
        <w:rPr>
          <w:rFonts w:ascii="Arial" w:hAnsi="Arial" w:cs="Arial"/>
          <w:b/>
          <w:bCs/>
        </w:rPr>
        <w:t>Executive Management</w:t>
      </w:r>
      <w:r w:rsidRPr="00D82499">
        <w:rPr>
          <w:rFonts w:ascii="Arial" w:hAnsi="Arial" w:cs="Arial"/>
        </w:rPr>
        <w:t>: Approves policy, provides resources, and enforces compliance.</w:t>
      </w:r>
    </w:p>
    <w:p w14:paraId="151DCDC6" w14:textId="4EBDA858" w:rsidR="007A175B" w:rsidRPr="00D82499" w:rsidRDefault="007A175B" w:rsidP="00D82499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D82499">
        <w:rPr>
          <w:rFonts w:ascii="Arial" w:hAnsi="Arial" w:cs="Arial"/>
          <w:b/>
          <w:bCs/>
        </w:rPr>
        <w:t>Data Owners</w:t>
      </w:r>
      <w:r w:rsidRPr="00D82499">
        <w:rPr>
          <w:rFonts w:ascii="Arial" w:hAnsi="Arial" w:cs="Arial"/>
        </w:rPr>
        <w:t xml:space="preserve">: Assign classifications, ensure controls, </w:t>
      </w:r>
      <w:r w:rsidR="00D82499">
        <w:rPr>
          <w:rFonts w:ascii="Arial" w:hAnsi="Arial" w:cs="Arial"/>
        </w:rPr>
        <w:t xml:space="preserve">and </w:t>
      </w:r>
      <w:r w:rsidRPr="00D82499">
        <w:rPr>
          <w:rFonts w:ascii="Arial" w:hAnsi="Arial" w:cs="Arial"/>
        </w:rPr>
        <w:t>review classification annually.</w:t>
      </w:r>
    </w:p>
    <w:p w14:paraId="336BDF86" w14:textId="77777777" w:rsidR="007A175B" w:rsidRPr="00D82499" w:rsidRDefault="007A175B" w:rsidP="00D82499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D82499">
        <w:rPr>
          <w:rFonts w:ascii="Arial" w:hAnsi="Arial" w:cs="Arial"/>
          <w:b/>
          <w:bCs/>
        </w:rPr>
        <w:t>Data Custodians (IT/Operations)</w:t>
      </w:r>
      <w:r w:rsidRPr="00D82499">
        <w:rPr>
          <w:rFonts w:ascii="Arial" w:hAnsi="Arial" w:cs="Arial"/>
        </w:rPr>
        <w:t>: Implement technical and physical safeguards.</w:t>
      </w:r>
    </w:p>
    <w:p w14:paraId="4C6AF32B" w14:textId="77777777" w:rsidR="007A175B" w:rsidRPr="00D82499" w:rsidRDefault="007A175B" w:rsidP="00D82499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D82499">
        <w:rPr>
          <w:rFonts w:ascii="Arial" w:hAnsi="Arial" w:cs="Arial"/>
          <w:b/>
          <w:bCs/>
        </w:rPr>
        <w:t>Users</w:t>
      </w:r>
      <w:r w:rsidRPr="00D82499">
        <w:rPr>
          <w:rFonts w:ascii="Arial" w:hAnsi="Arial" w:cs="Arial"/>
        </w:rPr>
        <w:t>: Follow classification and handling rules; report violations.</w:t>
      </w:r>
    </w:p>
    <w:p w14:paraId="0F6378E6" w14:textId="1970EF64" w:rsidR="007A175B" w:rsidRPr="00D82499" w:rsidRDefault="007A175B" w:rsidP="00D82499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D82499">
        <w:rPr>
          <w:rFonts w:ascii="Arial" w:hAnsi="Arial" w:cs="Arial"/>
          <w:b/>
          <w:bCs/>
        </w:rPr>
        <w:t>CISO/ISO</w:t>
      </w:r>
      <w:r w:rsidRPr="00D82499">
        <w:rPr>
          <w:rFonts w:ascii="Arial" w:hAnsi="Arial" w:cs="Arial"/>
        </w:rPr>
        <w:t>: Oversees classification program, conducts audits, approves exceptions.</w:t>
      </w:r>
    </w:p>
    <w:p w14:paraId="7621BFA8" w14:textId="77777777" w:rsidR="007A175B" w:rsidRPr="007A175B" w:rsidRDefault="007A175B" w:rsidP="00454236">
      <w:pPr>
        <w:pStyle w:val="Heading1"/>
      </w:pPr>
      <w:bookmarkStart w:id="8" w:name="_Toc207016831"/>
      <w:r w:rsidRPr="007A175B">
        <w:t>6. Data Classification Process</w:t>
      </w:r>
      <w:bookmarkEnd w:id="8"/>
    </w:p>
    <w:p w14:paraId="07C28167" w14:textId="77777777" w:rsidR="007A175B" w:rsidRPr="00D1591D" w:rsidRDefault="007A175B" w:rsidP="00D82499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D1591D">
        <w:rPr>
          <w:rFonts w:ascii="Arial" w:hAnsi="Arial" w:cs="Arial"/>
          <w:b/>
          <w:bCs/>
        </w:rPr>
        <w:t>Identify</w:t>
      </w:r>
      <w:r w:rsidRPr="00D1591D">
        <w:rPr>
          <w:rFonts w:ascii="Arial" w:hAnsi="Arial" w:cs="Arial"/>
        </w:rPr>
        <w:t xml:space="preserve"> information assets (via inventory or system documentation).</w:t>
      </w:r>
    </w:p>
    <w:p w14:paraId="4BEAF926" w14:textId="77777777" w:rsidR="007A175B" w:rsidRPr="00D1591D" w:rsidRDefault="007A175B" w:rsidP="00D82499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D1591D">
        <w:rPr>
          <w:rFonts w:ascii="Arial" w:hAnsi="Arial" w:cs="Arial"/>
          <w:b/>
          <w:bCs/>
        </w:rPr>
        <w:t>Assess CIA Impact</w:t>
      </w:r>
      <w:r w:rsidRPr="00D1591D">
        <w:rPr>
          <w:rFonts w:ascii="Arial" w:hAnsi="Arial" w:cs="Arial"/>
        </w:rPr>
        <w:t>: Determine Low/Moderate/High per asset.</w:t>
      </w:r>
    </w:p>
    <w:p w14:paraId="10651181" w14:textId="77777777" w:rsidR="007A175B" w:rsidRPr="00D1591D" w:rsidRDefault="007A175B" w:rsidP="00D82499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D1591D">
        <w:rPr>
          <w:rFonts w:ascii="Arial" w:hAnsi="Arial" w:cs="Arial"/>
          <w:b/>
          <w:bCs/>
        </w:rPr>
        <w:lastRenderedPageBreak/>
        <w:t>Assign Classification</w:t>
      </w:r>
      <w:r w:rsidRPr="00D1591D">
        <w:rPr>
          <w:rFonts w:ascii="Arial" w:hAnsi="Arial" w:cs="Arial"/>
        </w:rPr>
        <w:t>: Map CIA score to classification level.</w:t>
      </w:r>
    </w:p>
    <w:p w14:paraId="105D4E85" w14:textId="77777777" w:rsidR="007A175B" w:rsidRPr="00D1591D" w:rsidRDefault="007A175B" w:rsidP="00D82499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D1591D">
        <w:rPr>
          <w:rFonts w:ascii="Arial" w:hAnsi="Arial" w:cs="Arial"/>
          <w:b/>
          <w:bCs/>
        </w:rPr>
        <w:t>Label and Record</w:t>
      </w:r>
      <w:r w:rsidRPr="00D1591D">
        <w:rPr>
          <w:rFonts w:ascii="Arial" w:hAnsi="Arial" w:cs="Arial"/>
        </w:rPr>
        <w:t>: Apply labels (e.g., headers, metadata, stamps). Maintain a central register.</w:t>
      </w:r>
    </w:p>
    <w:p w14:paraId="6699F0D2" w14:textId="77777777" w:rsidR="007A175B" w:rsidRPr="00D1591D" w:rsidRDefault="007A175B" w:rsidP="00D82499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D1591D">
        <w:rPr>
          <w:rFonts w:ascii="Arial" w:hAnsi="Arial" w:cs="Arial"/>
          <w:b/>
          <w:bCs/>
        </w:rPr>
        <w:t>Apply Controls</w:t>
      </w:r>
      <w:r w:rsidRPr="00D1591D">
        <w:rPr>
          <w:rFonts w:ascii="Arial" w:hAnsi="Arial" w:cs="Arial"/>
        </w:rPr>
        <w:t>: Implement baseline and enhanced controls based on classification.</w:t>
      </w:r>
    </w:p>
    <w:p w14:paraId="3AB8A472" w14:textId="77777777" w:rsidR="007A175B" w:rsidRPr="00D1591D" w:rsidRDefault="007A175B" w:rsidP="00D82499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D1591D">
        <w:rPr>
          <w:rFonts w:ascii="Arial" w:hAnsi="Arial" w:cs="Arial"/>
          <w:b/>
          <w:bCs/>
        </w:rPr>
        <w:t>Review and Update</w:t>
      </w:r>
      <w:r w:rsidRPr="00D1591D">
        <w:rPr>
          <w:rFonts w:ascii="Arial" w:hAnsi="Arial" w:cs="Arial"/>
        </w:rPr>
        <w:t>: At least annually or upon significant business/technical changes.</w:t>
      </w:r>
    </w:p>
    <w:p w14:paraId="293025F3" w14:textId="6ADC486F" w:rsidR="007A175B" w:rsidRPr="00D82499" w:rsidRDefault="00D82499" w:rsidP="00454236">
      <w:pPr>
        <w:pStyle w:val="Heading1"/>
      </w:pPr>
      <w:bookmarkStart w:id="9" w:name="_Toc207016832"/>
      <w:r>
        <w:t>7.</w:t>
      </w:r>
      <w:r w:rsidR="00454236">
        <w:t xml:space="preserve"> </w:t>
      </w:r>
      <w:r w:rsidR="007A175B" w:rsidRPr="00D82499">
        <w:t>Handling &amp; Control Matrix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1494"/>
        <w:gridCol w:w="1245"/>
        <w:gridCol w:w="1480"/>
        <w:gridCol w:w="1746"/>
        <w:gridCol w:w="1255"/>
      </w:tblGrid>
      <w:tr w:rsidR="00AD43A5" w14:paraId="7B73EAF0" w14:textId="77777777" w:rsidTr="00AD43A5">
        <w:tc>
          <w:tcPr>
            <w:tcW w:w="2154" w:type="dxa"/>
          </w:tcPr>
          <w:p w14:paraId="4585228C" w14:textId="5BCE18F8" w:rsidR="007A175B" w:rsidRDefault="00AD43A5" w:rsidP="00D82499">
            <w:pPr>
              <w:jc w:val="both"/>
              <w:rPr>
                <w:b/>
                <w:bCs/>
              </w:rPr>
            </w:pPr>
            <w:r w:rsidRPr="007A175B">
              <w:rPr>
                <w:b/>
                <w:bCs/>
              </w:rPr>
              <w:t>Classification</w:t>
            </w:r>
          </w:p>
        </w:tc>
        <w:tc>
          <w:tcPr>
            <w:tcW w:w="1512" w:type="dxa"/>
          </w:tcPr>
          <w:p w14:paraId="1F8B2350" w14:textId="4C9C1A19" w:rsidR="007A175B" w:rsidRDefault="00AD43A5" w:rsidP="00D82499">
            <w:pPr>
              <w:jc w:val="both"/>
              <w:rPr>
                <w:b/>
                <w:bCs/>
              </w:rPr>
            </w:pPr>
            <w:r w:rsidRPr="007A175B">
              <w:rPr>
                <w:b/>
                <w:bCs/>
              </w:rPr>
              <w:t>Access Control</w:t>
            </w:r>
          </w:p>
        </w:tc>
        <w:tc>
          <w:tcPr>
            <w:tcW w:w="1259" w:type="dxa"/>
          </w:tcPr>
          <w:p w14:paraId="37D66E5C" w14:textId="0B7B68F2" w:rsidR="007A175B" w:rsidRDefault="00AD43A5" w:rsidP="00D82499">
            <w:pPr>
              <w:jc w:val="both"/>
              <w:rPr>
                <w:b/>
                <w:bCs/>
              </w:rPr>
            </w:pPr>
            <w:r w:rsidRPr="007A175B">
              <w:rPr>
                <w:b/>
                <w:bCs/>
              </w:rPr>
              <w:t>Storage</w:t>
            </w:r>
          </w:p>
        </w:tc>
        <w:tc>
          <w:tcPr>
            <w:tcW w:w="1497" w:type="dxa"/>
          </w:tcPr>
          <w:p w14:paraId="38547F09" w14:textId="0323012C" w:rsidR="007A175B" w:rsidRDefault="00AD43A5" w:rsidP="00D82499">
            <w:pPr>
              <w:jc w:val="both"/>
              <w:rPr>
                <w:b/>
                <w:bCs/>
              </w:rPr>
            </w:pPr>
            <w:r w:rsidRPr="007A175B">
              <w:rPr>
                <w:b/>
                <w:bCs/>
              </w:rPr>
              <w:t>Transmission</w:t>
            </w:r>
          </w:p>
        </w:tc>
        <w:tc>
          <w:tcPr>
            <w:tcW w:w="1767" w:type="dxa"/>
          </w:tcPr>
          <w:p w14:paraId="1C9A5E47" w14:textId="5A65E15A" w:rsidR="007A175B" w:rsidRDefault="00AD43A5" w:rsidP="00D82499">
            <w:pPr>
              <w:jc w:val="both"/>
              <w:rPr>
                <w:b/>
                <w:bCs/>
              </w:rPr>
            </w:pPr>
            <w:r w:rsidRPr="007A175B">
              <w:rPr>
                <w:b/>
                <w:bCs/>
              </w:rPr>
              <w:t>Sharing</w:t>
            </w:r>
          </w:p>
        </w:tc>
        <w:tc>
          <w:tcPr>
            <w:tcW w:w="1161" w:type="dxa"/>
          </w:tcPr>
          <w:p w14:paraId="691F93BF" w14:textId="73314BE5" w:rsidR="007A175B" w:rsidRDefault="00AD43A5" w:rsidP="00D82499">
            <w:pPr>
              <w:jc w:val="both"/>
              <w:rPr>
                <w:b/>
                <w:bCs/>
              </w:rPr>
            </w:pPr>
            <w:r w:rsidRPr="007A175B">
              <w:rPr>
                <w:b/>
                <w:bCs/>
              </w:rPr>
              <w:t>Retention &amp; Disposal</w:t>
            </w:r>
          </w:p>
        </w:tc>
      </w:tr>
      <w:tr w:rsidR="00AD43A5" w14:paraId="59CB5313" w14:textId="77777777" w:rsidTr="00AD43A5">
        <w:tc>
          <w:tcPr>
            <w:tcW w:w="2154" w:type="dxa"/>
          </w:tcPr>
          <w:p w14:paraId="2908F040" w14:textId="589604A9" w:rsidR="00AD43A5" w:rsidRDefault="00AD43A5" w:rsidP="00D82499">
            <w:pPr>
              <w:jc w:val="both"/>
              <w:rPr>
                <w:b/>
                <w:bCs/>
              </w:rPr>
            </w:pPr>
            <w:r w:rsidRPr="007A175B">
              <w:t>Public</w:t>
            </w:r>
          </w:p>
        </w:tc>
        <w:tc>
          <w:tcPr>
            <w:tcW w:w="1512" w:type="dxa"/>
          </w:tcPr>
          <w:p w14:paraId="56F592DA" w14:textId="5095E966" w:rsidR="00AD43A5" w:rsidRDefault="00AD43A5" w:rsidP="00D82499">
            <w:pPr>
              <w:jc w:val="both"/>
              <w:rPr>
                <w:b/>
                <w:bCs/>
              </w:rPr>
            </w:pPr>
            <w:r w:rsidRPr="007A175B">
              <w:t>Open</w:t>
            </w:r>
          </w:p>
        </w:tc>
        <w:tc>
          <w:tcPr>
            <w:tcW w:w="1259" w:type="dxa"/>
          </w:tcPr>
          <w:p w14:paraId="260F999A" w14:textId="6EBD3DFB" w:rsidR="00AD43A5" w:rsidRDefault="00AD43A5" w:rsidP="00D82499">
            <w:pPr>
              <w:jc w:val="both"/>
              <w:rPr>
                <w:b/>
                <w:bCs/>
              </w:rPr>
            </w:pPr>
            <w:r w:rsidRPr="007A175B">
              <w:t>Standard systems</w:t>
            </w:r>
          </w:p>
        </w:tc>
        <w:tc>
          <w:tcPr>
            <w:tcW w:w="1497" w:type="dxa"/>
            <w:vAlign w:val="center"/>
          </w:tcPr>
          <w:p w14:paraId="3F846BB5" w14:textId="409107E7" w:rsidR="00AD43A5" w:rsidRDefault="00AD43A5" w:rsidP="00D82499">
            <w:pPr>
              <w:jc w:val="both"/>
              <w:rPr>
                <w:b/>
                <w:bCs/>
              </w:rPr>
            </w:pPr>
            <w:r w:rsidRPr="007A175B">
              <w:t>No restrictions</w:t>
            </w:r>
          </w:p>
        </w:tc>
        <w:tc>
          <w:tcPr>
            <w:tcW w:w="1767" w:type="dxa"/>
          </w:tcPr>
          <w:p w14:paraId="5624D286" w14:textId="016C9D10" w:rsidR="00AD43A5" w:rsidRDefault="00AD43A5" w:rsidP="00D82499">
            <w:pPr>
              <w:jc w:val="both"/>
              <w:rPr>
                <w:b/>
                <w:bCs/>
              </w:rPr>
            </w:pPr>
            <w:r w:rsidRPr="007A175B">
              <w:t>Freely shareable</w:t>
            </w:r>
          </w:p>
        </w:tc>
        <w:tc>
          <w:tcPr>
            <w:tcW w:w="1161" w:type="dxa"/>
          </w:tcPr>
          <w:p w14:paraId="5DAD3B5D" w14:textId="2F87EE7B" w:rsidR="00AD43A5" w:rsidRDefault="00AD43A5" w:rsidP="00D82499">
            <w:pPr>
              <w:jc w:val="both"/>
              <w:rPr>
                <w:b/>
                <w:bCs/>
              </w:rPr>
            </w:pPr>
            <w:r w:rsidRPr="007A175B">
              <w:t xml:space="preserve">Archive or dispose </w:t>
            </w:r>
            <w:r>
              <w:t xml:space="preserve">of </w:t>
            </w:r>
            <w:r w:rsidRPr="007A175B">
              <w:t>per schedule</w:t>
            </w:r>
          </w:p>
        </w:tc>
      </w:tr>
      <w:tr w:rsidR="00AD43A5" w14:paraId="5EB2A462" w14:textId="77777777" w:rsidTr="00AD43A5">
        <w:tc>
          <w:tcPr>
            <w:tcW w:w="2154" w:type="dxa"/>
            <w:vAlign w:val="center"/>
          </w:tcPr>
          <w:p w14:paraId="683ED625" w14:textId="799080B0" w:rsidR="00AD43A5" w:rsidRDefault="00AD43A5" w:rsidP="00D82499">
            <w:pPr>
              <w:jc w:val="both"/>
              <w:rPr>
                <w:b/>
                <w:bCs/>
              </w:rPr>
            </w:pPr>
            <w:r w:rsidRPr="007A175B">
              <w:t>Internal</w:t>
            </w:r>
          </w:p>
        </w:tc>
        <w:tc>
          <w:tcPr>
            <w:tcW w:w="1512" w:type="dxa"/>
            <w:vAlign w:val="center"/>
          </w:tcPr>
          <w:p w14:paraId="4DAA25E7" w14:textId="6ABB0B45" w:rsidR="00AD43A5" w:rsidRDefault="00AD43A5" w:rsidP="00D82499">
            <w:pPr>
              <w:jc w:val="both"/>
              <w:rPr>
                <w:b/>
                <w:bCs/>
              </w:rPr>
            </w:pPr>
            <w:r w:rsidRPr="007A175B">
              <w:t>Authenticated staff only</w:t>
            </w:r>
          </w:p>
        </w:tc>
        <w:tc>
          <w:tcPr>
            <w:tcW w:w="1259" w:type="dxa"/>
            <w:vAlign w:val="center"/>
          </w:tcPr>
          <w:p w14:paraId="137CEE4E" w14:textId="40040A4B" w:rsidR="00AD43A5" w:rsidRDefault="00AD43A5" w:rsidP="00D82499">
            <w:pPr>
              <w:jc w:val="both"/>
              <w:rPr>
                <w:b/>
                <w:bCs/>
              </w:rPr>
            </w:pPr>
            <w:r w:rsidRPr="007A175B">
              <w:t>Secure drives, business apps</w:t>
            </w:r>
          </w:p>
        </w:tc>
        <w:tc>
          <w:tcPr>
            <w:tcW w:w="1497" w:type="dxa"/>
            <w:vAlign w:val="center"/>
          </w:tcPr>
          <w:p w14:paraId="3ACEE294" w14:textId="2158C869" w:rsidR="00AD43A5" w:rsidRDefault="00AD43A5" w:rsidP="00D82499">
            <w:pPr>
              <w:jc w:val="both"/>
              <w:rPr>
                <w:b/>
                <w:bCs/>
              </w:rPr>
            </w:pPr>
            <w:r w:rsidRPr="007A175B">
              <w:t>Internal email, intranet</w:t>
            </w:r>
          </w:p>
        </w:tc>
        <w:tc>
          <w:tcPr>
            <w:tcW w:w="1767" w:type="dxa"/>
            <w:vAlign w:val="center"/>
          </w:tcPr>
          <w:p w14:paraId="2DD7231B" w14:textId="360BDEAB" w:rsidR="00AD43A5" w:rsidRDefault="00AD43A5" w:rsidP="00D82499">
            <w:pPr>
              <w:jc w:val="both"/>
              <w:rPr>
                <w:b/>
                <w:bCs/>
              </w:rPr>
            </w:pPr>
            <w:r w:rsidRPr="007A175B">
              <w:t>Internal sharing only</w:t>
            </w:r>
          </w:p>
        </w:tc>
        <w:tc>
          <w:tcPr>
            <w:tcW w:w="1161" w:type="dxa"/>
            <w:vAlign w:val="center"/>
          </w:tcPr>
          <w:p w14:paraId="316A8665" w14:textId="1464946B" w:rsidR="00AD43A5" w:rsidRDefault="00AD43A5" w:rsidP="00D82499">
            <w:pPr>
              <w:jc w:val="both"/>
              <w:rPr>
                <w:b/>
                <w:bCs/>
              </w:rPr>
            </w:pPr>
            <w:r w:rsidRPr="007A175B">
              <w:t>Dispose securely (shred, wipe)</w:t>
            </w:r>
          </w:p>
        </w:tc>
      </w:tr>
      <w:tr w:rsidR="00AD43A5" w14:paraId="4232BEF1" w14:textId="77777777" w:rsidTr="00AD43A5">
        <w:tc>
          <w:tcPr>
            <w:tcW w:w="2154" w:type="dxa"/>
            <w:vAlign w:val="center"/>
          </w:tcPr>
          <w:p w14:paraId="06593FB0" w14:textId="7B37E2A5" w:rsidR="00AD43A5" w:rsidRDefault="00AD43A5" w:rsidP="00D82499">
            <w:pPr>
              <w:jc w:val="both"/>
              <w:rPr>
                <w:b/>
                <w:bCs/>
              </w:rPr>
            </w:pPr>
            <w:r w:rsidRPr="007A175B">
              <w:t>Confidential</w:t>
            </w:r>
          </w:p>
        </w:tc>
        <w:tc>
          <w:tcPr>
            <w:tcW w:w="1512" w:type="dxa"/>
            <w:vAlign w:val="center"/>
          </w:tcPr>
          <w:p w14:paraId="28ECEE9F" w14:textId="7152C293" w:rsidR="00AD43A5" w:rsidRDefault="00AD43A5" w:rsidP="00D82499">
            <w:pPr>
              <w:jc w:val="both"/>
              <w:rPr>
                <w:b/>
                <w:bCs/>
              </w:rPr>
            </w:pPr>
            <w:r w:rsidRPr="007A175B">
              <w:t>Role-based access, MFA</w:t>
            </w:r>
          </w:p>
        </w:tc>
        <w:tc>
          <w:tcPr>
            <w:tcW w:w="1259" w:type="dxa"/>
            <w:vAlign w:val="center"/>
          </w:tcPr>
          <w:p w14:paraId="248B1FA2" w14:textId="3A2F993E" w:rsidR="00AD43A5" w:rsidRDefault="00AD43A5" w:rsidP="00D82499">
            <w:pPr>
              <w:jc w:val="both"/>
              <w:rPr>
                <w:b/>
                <w:bCs/>
              </w:rPr>
            </w:pPr>
            <w:r w:rsidRPr="007A175B">
              <w:t>Encrypted storage, secured apps</w:t>
            </w:r>
          </w:p>
        </w:tc>
        <w:tc>
          <w:tcPr>
            <w:tcW w:w="1497" w:type="dxa"/>
            <w:vAlign w:val="center"/>
          </w:tcPr>
          <w:p w14:paraId="0849437A" w14:textId="1A1C5464" w:rsidR="00AD43A5" w:rsidRDefault="00AD43A5" w:rsidP="00D82499">
            <w:pPr>
              <w:jc w:val="both"/>
              <w:rPr>
                <w:b/>
                <w:bCs/>
              </w:rPr>
            </w:pPr>
            <w:r w:rsidRPr="007A175B">
              <w:t>Encrypted email, VPN</w:t>
            </w:r>
          </w:p>
        </w:tc>
        <w:tc>
          <w:tcPr>
            <w:tcW w:w="1767" w:type="dxa"/>
            <w:vAlign w:val="center"/>
          </w:tcPr>
          <w:p w14:paraId="7DAE4694" w14:textId="5531864F" w:rsidR="00AD43A5" w:rsidRDefault="00AD43A5" w:rsidP="00D82499">
            <w:pPr>
              <w:jc w:val="both"/>
              <w:rPr>
                <w:b/>
                <w:bCs/>
              </w:rPr>
            </w:pPr>
            <w:r w:rsidRPr="007A175B">
              <w:t>NDA required for third parties</w:t>
            </w:r>
          </w:p>
        </w:tc>
        <w:tc>
          <w:tcPr>
            <w:tcW w:w="1161" w:type="dxa"/>
            <w:vAlign w:val="center"/>
          </w:tcPr>
          <w:p w14:paraId="21D6A2DD" w14:textId="31F8CFA2" w:rsidR="00AD43A5" w:rsidRDefault="00AD43A5" w:rsidP="00D82499">
            <w:pPr>
              <w:jc w:val="both"/>
              <w:rPr>
                <w:b/>
                <w:bCs/>
              </w:rPr>
            </w:pPr>
            <w:r w:rsidRPr="007A175B">
              <w:t>Shred paper, secure wipe digital</w:t>
            </w:r>
          </w:p>
        </w:tc>
      </w:tr>
      <w:tr w:rsidR="00AD43A5" w14:paraId="17465DB8" w14:textId="77777777" w:rsidTr="00AD43A5">
        <w:tc>
          <w:tcPr>
            <w:tcW w:w="2154" w:type="dxa"/>
            <w:vAlign w:val="center"/>
          </w:tcPr>
          <w:p w14:paraId="2FD40868" w14:textId="412B6267" w:rsidR="00AD43A5" w:rsidRDefault="00AD43A5" w:rsidP="00D82499">
            <w:pPr>
              <w:jc w:val="both"/>
              <w:rPr>
                <w:b/>
                <w:bCs/>
              </w:rPr>
            </w:pPr>
            <w:r w:rsidRPr="007A175B">
              <w:t>Restricted/Regulated</w:t>
            </w:r>
          </w:p>
        </w:tc>
        <w:tc>
          <w:tcPr>
            <w:tcW w:w="1512" w:type="dxa"/>
            <w:vAlign w:val="center"/>
          </w:tcPr>
          <w:p w14:paraId="745343FC" w14:textId="16A85EB5" w:rsidR="00AD43A5" w:rsidRDefault="00AD43A5" w:rsidP="00D82499">
            <w:pPr>
              <w:jc w:val="both"/>
              <w:rPr>
                <w:b/>
                <w:bCs/>
              </w:rPr>
            </w:pPr>
            <w:r w:rsidRPr="007A175B">
              <w:t>Need-to-know, strict logging</w:t>
            </w:r>
          </w:p>
        </w:tc>
        <w:tc>
          <w:tcPr>
            <w:tcW w:w="1259" w:type="dxa"/>
            <w:vAlign w:val="center"/>
          </w:tcPr>
          <w:p w14:paraId="39642251" w14:textId="6E929277" w:rsidR="00AD43A5" w:rsidRDefault="00AD43A5" w:rsidP="00D82499">
            <w:pPr>
              <w:jc w:val="both"/>
              <w:rPr>
                <w:b/>
                <w:bCs/>
              </w:rPr>
            </w:pPr>
            <w:r w:rsidRPr="007A175B">
              <w:t>Strong encryption, HSM/KMS</w:t>
            </w:r>
          </w:p>
        </w:tc>
        <w:tc>
          <w:tcPr>
            <w:tcW w:w="1497" w:type="dxa"/>
            <w:vAlign w:val="center"/>
          </w:tcPr>
          <w:p w14:paraId="51855C5C" w14:textId="1D0D73D5" w:rsidR="00AD43A5" w:rsidRDefault="00AD43A5" w:rsidP="00D82499">
            <w:pPr>
              <w:jc w:val="both"/>
              <w:rPr>
                <w:b/>
                <w:bCs/>
              </w:rPr>
            </w:pPr>
            <w:r w:rsidRPr="007A175B">
              <w:t>End-to-end encryption, secure file transfer</w:t>
            </w:r>
          </w:p>
        </w:tc>
        <w:tc>
          <w:tcPr>
            <w:tcW w:w="1767" w:type="dxa"/>
            <w:vAlign w:val="center"/>
          </w:tcPr>
          <w:p w14:paraId="04351496" w14:textId="5E13B35E" w:rsidR="00AD43A5" w:rsidRDefault="00AD43A5" w:rsidP="00D82499">
            <w:pPr>
              <w:jc w:val="both"/>
              <w:rPr>
                <w:b/>
                <w:bCs/>
              </w:rPr>
            </w:pPr>
            <w:r w:rsidRPr="007A175B">
              <w:t>Only with legal/contractual safeguards</w:t>
            </w:r>
          </w:p>
        </w:tc>
        <w:tc>
          <w:tcPr>
            <w:tcW w:w="1161" w:type="dxa"/>
            <w:vAlign w:val="center"/>
          </w:tcPr>
          <w:p w14:paraId="036365D5" w14:textId="22A0275C" w:rsidR="00AD43A5" w:rsidRDefault="00AD43A5" w:rsidP="00D82499">
            <w:pPr>
              <w:jc w:val="both"/>
              <w:rPr>
                <w:b/>
                <w:bCs/>
              </w:rPr>
            </w:pPr>
            <w:r w:rsidRPr="007A175B">
              <w:t>Approved secure destruction only</w:t>
            </w:r>
          </w:p>
        </w:tc>
      </w:tr>
    </w:tbl>
    <w:p w14:paraId="1BB462DC" w14:textId="77777777" w:rsidR="007A175B" w:rsidRPr="007A175B" w:rsidRDefault="007A175B" w:rsidP="00D82499">
      <w:pPr>
        <w:jc w:val="both"/>
        <w:rPr>
          <w:b/>
          <w:bCs/>
        </w:rPr>
      </w:pPr>
    </w:p>
    <w:p w14:paraId="51C1137B" w14:textId="77777777" w:rsidR="007A175B" w:rsidRPr="00AD43A5" w:rsidRDefault="007A175B" w:rsidP="00454236">
      <w:pPr>
        <w:pStyle w:val="Heading1"/>
      </w:pPr>
      <w:bookmarkStart w:id="10" w:name="_Toc207016833"/>
      <w:r w:rsidRPr="00AD43A5">
        <w:t>8. Labeling Guidelines</w:t>
      </w:r>
      <w:bookmarkEnd w:id="10"/>
    </w:p>
    <w:p w14:paraId="77153224" w14:textId="77777777" w:rsidR="007A175B" w:rsidRPr="00D1591D" w:rsidRDefault="007A175B" w:rsidP="00D82499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D1591D">
        <w:rPr>
          <w:rFonts w:ascii="Arial" w:hAnsi="Arial" w:cs="Arial"/>
          <w:b/>
          <w:bCs/>
        </w:rPr>
        <w:t>Electronic documents</w:t>
      </w:r>
      <w:r w:rsidRPr="00D1591D">
        <w:rPr>
          <w:rFonts w:ascii="Arial" w:hAnsi="Arial" w:cs="Arial"/>
        </w:rPr>
        <w:t>: Metadata tags, document headers/footers.</w:t>
      </w:r>
    </w:p>
    <w:p w14:paraId="033194D4" w14:textId="77777777" w:rsidR="007A175B" w:rsidRPr="00D1591D" w:rsidRDefault="007A175B" w:rsidP="00D82499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D1591D">
        <w:rPr>
          <w:rFonts w:ascii="Arial" w:hAnsi="Arial" w:cs="Arial"/>
          <w:b/>
          <w:bCs/>
        </w:rPr>
        <w:t>Paper documents</w:t>
      </w:r>
      <w:r w:rsidRPr="00D1591D">
        <w:rPr>
          <w:rFonts w:ascii="Arial" w:hAnsi="Arial" w:cs="Arial"/>
        </w:rPr>
        <w:t>: Stamps, cover sheets, watermarking.</w:t>
      </w:r>
    </w:p>
    <w:p w14:paraId="20274556" w14:textId="77777777" w:rsidR="007A175B" w:rsidRPr="00D1591D" w:rsidRDefault="007A175B" w:rsidP="00D82499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D1591D">
        <w:rPr>
          <w:rFonts w:ascii="Arial" w:hAnsi="Arial" w:cs="Arial"/>
          <w:b/>
          <w:bCs/>
        </w:rPr>
        <w:t>Emails</w:t>
      </w:r>
      <w:r w:rsidRPr="00D1591D">
        <w:rPr>
          <w:rFonts w:ascii="Arial" w:hAnsi="Arial" w:cs="Arial"/>
        </w:rPr>
        <w:t>: Classification label in subject line or banner.</w:t>
      </w:r>
    </w:p>
    <w:p w14:paraId="78C2F7E7" w14:textId="33F5B79D" w:rsidR="007A175B" w:rsidRPr="00D1591D" w:rsidRDefault="007A175B" w:rsidP="00D82499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D1591D">
        <w:rPr>
          <w:rFonts w:ascii="Arial" w:hAnsi="Arial" w:cs="Arial"/>
          <w:b/>
          <w:bCs/>
        </w:rPr>
        <w:t>Systems</w:t>
      </w:r>
      <w:r w:rsidRPr="00D1591D">
        <w:rPr>
          <w:rFonts w:ascii="Arial" w:hAnsi="Arial" w:cs="Arial"/>
        </w:rPr>
        <w:t>: Automated classification tools where feasible.</w:t>
      </w:r>
    </w:p>
    <w:p w14:paraId="6AAD4A48" w14:textId="77777777" w:rsidR="007A175B" w:rsidRPr="00AD43A5" w:rsidRDefault="007A175B" w:rsidP="00454236">
      <w:pPr>
        <w:pStyle w:val="Heading1"/>
      </w:pPr>
      <w:bookmarkStart w:id="11" w:name="_Toc207016834"/>
      <w:r w:rsidRPr="00AD43A5">
        <w:lastRenderedPageBreak/>
        <w:t>9. Third-Party Data Sharing</w:t>
      </w:r>
      <w:bookmarkEnd w:id="11"/>
    </w:p>
    <w:p w14:paraId="1507A59E" w14:textId="77777777" w:rsidR="007A175B" w:rsidRPr="00D1591D" w:rsidRDefault="007A175B" w:rsidP="00D82499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 w:rsidRPr="00D1591D">
        <w:rPr>
          <w:rFonts w:ascii="Arial" w:hAnsi="Arial" w:cs="Arial"/>
        </w:rPr>
        <w:t>Data shared externally must have a risk assessment.</w:t>
      </w:r>
    </w:p>
    <w:p w14:paraId="616962BB" w14:textId="77777777" w:rsidR="007A175B" w:rsidRPr="00D1591D" w:rsidRDefault="007A175B" w:rsidP="00D82499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 w:rsidRPr="00D1591D">
        <w:rPr>
          <w:rFonts w:ascii="Arial" w:hAnsi="Arial" w:cs="Arial"/>
        </w:rPr>
        <w:t>Contracts must specify handling, access, and disposal requirements.</w:t>
      </w:r>
    </w:p>
    <w:p w14:paraId="74FB4725" w14:textId="68ACE7BF" w:rsidR="007A175B" w:rsidRPr="00D1591D" w:rsidRDefault="007A175B" w:rsidP="00D82499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 w:rsidRPr="00D1591D">
        <w:rPr>
          <w:rFonts w:ascii="Arial" w:hAnsi="Arial" w:cs="Arial"/>
        </w:rPr>
        <w:t>Data Protection Agreements (DPA) required for Restricted/Regulated data.</w:t>
      </w:r>
    </w:p>
    <w:p w14:paraId="66E55298" w14:textId="77777777" w:rsidR="007A175B" w:rsidRPr="00AD43A5" w:rsidRDefault="007A175B" w:rsidP="00454236">
      <w:pPr>
        <w:pStyle w:val="Heading1"/>
      </w:pPr>
      <w:bookmarkStart w:id="12" w:name="_Toc207016835"/>
      <w:r w:rsidRPr="00AD43A5">
        <w:t>10. Training and Awareness</w:t>
      </w:r>
      <w:bookmarkEnd w:id="12"/>
    </w:p>
    <w:p w14:paraId="069E90AD" w14:textId="77777777" w:rsidR="007A175B" w:rsidRPr="00D1591D" w:rsidRDefault="007A175B" w:rsidP="00D82499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 w:rsidRPr="00D1591D">
        <w:rPr>
          <w:rFonts w:ascii="Arial" w:hAnsi="Arial" w:cs="Arial"/>
        </w:rPr>
        <w:t xml:space="preserve">Employees must receive training </w:t>
      </w:r>
      <w:proofErr w:type="gramStart"/>
      <w:r w:rsidRPr="00D1591D">
        <w:rPr>
          <w:rFonts w:ascii="Arial" w:hAnsi="Arial" w:cs="Arial"/>
        </w:rPr>
        <w:t>on</w:t>
      </w:r>
      <w:proofErr w:type="gramEnd"/>
      <w:r w:rsidRPr="00D1591D">
        <w:rPr>
          <w:rFonts w:ascii="Arial" w:hAnsi="Arial" w:cs="Arial"/>
        </w:rPr>
        <w:t xml:space="preserve"> classification and handling at hire and annually.</w:t>
      </w:r>
    </w:p>
    <w:p w14:paraId="668553C3" w14:textId="35E0CD84" w:rsidR="007A175B" w:rsidRPr="00454236" w:rsidRDefault="007A175B" w:rsidP="00D82499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 w:rsidRPr="00D1591D">
        <w:rPr>
          <w:rFonts w:ascii="Arial" w:hAnsi="Arial" w:cs="Arial"/>
        </w:rPr>
        <w:t>Awareness campaigns must reinforce labeling, secure sharing, and incident reporting.</w:t>
      </w:r>
    </w:p>
    <w:p w14:paraId="23EB50AF" w14:textId="77777777" w:rsidR="007A175B" w:rsidRPr="00AD43A5" w:rsidRDefault="007A175B" w:rsidP="00454236">
      <w:pPr>
        <w:pStyle w:val="Heading1"/>
      </w:pPr>
      <w:bookmarkStart w:id="13" w:name="_Toc207016836"/>
      <w:r w:rsidRPr="00AD43A5">
        <w:t>11. Compliance and Exceptions</w:t>
      </w:r>
      <w:bookmarkEnd w:id="13"/>
    </w:p>
    <w:p w14:paraId="1583122F" w14:textId="77777777" w:rsidR="007A175B" w:rsidRPr="00D1591D" w:rsidRDefault="007A175B" w:rsidP="00D82499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D1591D">
        <w:rPr>
          <w:rFonts w:ascii="Arial" w:hAnsi="Arial" w:cs="Arial"/>
        </w:rPr>
        <w:t>Compliance is mandatory.</w:t>
      </w:r>
    </w:p>
    <w:p w14:paraId="605D48EC" w14:textId="77777777" w:rsidR="007A175B" w:rsidRPr="00D1591D" w:rsidRDefault="007A175B" w:rsidP="00D82499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D1591D">
        <w:rPr>
          <w:rFonts w:ascii="Arial" w:hAnsi="Arial" w:cs="Arial"/>
        </w:rPr>
        <w:t xml:space="preserve">Exceptions require written approval from </w:t>
      </w:r>
      <w:proofErr w:type="gramStart"/>
      <w:r w:rsidRPr="00D1591D">
        <w:rPr>
          <w:rFonts w:ascii="Arial" w:hAnsi="Arial" w:cs="Arial"/>
        </w:rPr>
        <w:t>the CISO</w:t>
      </w:r>
      <w:proofErr w:type="gramEnd"/>
      <w:r w:rsidRPr="00D1591D">
        <w:rPr>
          <w:rFonts w:ascii="Arial" w:hAnsi="Arial" w:cs="Arial"/>
        </w:rPr>
        <w:t>/ISO.</w:t>
      </w:r>
    </w:p>
    <w:p w14:paraId="6735AE08" w14:textId="217F6C9A" w:rsidR="007A175B" w:rsidRPr="00D1591D" w:rsidRDefault="007A175B" w:rsidP="00D82499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D1591D">
        <w:rPr>
          <w:rFonts w:ascii="Arial" w:hAnsi="Arial" w:cs="Arial"/>
        </w:rPr>
        <w:t>Violations may result in disciplinary action, termination, or legal penalties.</w:t>
      </w:r>
    </w:p>
    <w:p w14:paraId="11625F85" w14:textId="77777777" w:rsidR="007A175B" w:rsidRPr="00AD43A5" w:rsidRDefault="007A175B" w:rsidP="00454236">
      <w:pPr>
        <w:pStyle w:val="Heading1"/>
      </w:pPr>
      <w:bookmarkStart w:id="14" w:name="_Toc207016837"/>
      <w:r w:rsidRPr="00AD43A5">
        <w:t>12. Metrics and Review</w:t>
      </w:r>
      <w:bookmarkEnd w:id="14"/>
    </w:p>
    <w:p w14:paraId="05F73967" w14:textId="77777777" w:rsidR="007A175B" w:rsidRPr="00D1591D" w:rsidRDefault="007A175B" w:rsidP="00D82499"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 w:rsidRPr="00D1591D">
        <w:rPr>
          <w:rFonts w:ascii="Arial" w:hAnsi="Arial" w:cs="Arial"/>
        </w:rPr>
        <w:t>Coverage: % of assets classified.</w:t>
      </w:r>
    </w:p>
    <w:p w14:paraId="7861CDDA" w14:textId="77777777" w:rsidR="007A175B" w:rsidRPr="00D1591D" w:rsidRDefault="007A175B" w:rsidP="00D82499"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 w:rsidRPr="00D1591D">
        <w:rPr>
          <w:rFonts w:ascii="Arial" w:hAnsi="Arial" w:cs="Arial"/>
        </w:rPr>
        <w:t>Audit: Number of compliance violations per quarter.</w:t>
      </w:r>
    </w:p>
    <w:p w14:paraId="6B0AB353" w14:textId="077D787A" w:rsidR="007A175B" w:rsidRPr="00D1591D" w:rsidRDefault="007A175B" w:rsidP="00D82499"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 w:rsidRPr="00D1591D">
        <w:rPr>
          <w:rFonts w:ascii="Arial" w:hAnsi="Arial" w:cs="Arial"/>
        </w:rPr>
        <w:t>Review cycle: Annual or upon regulatory/operational changes.</w:t>
      </w:r>
    </w:p>
    <w:p w14:paraId="148E5FE8" w14:textId="77777777" w:rsidR="007A175B" w:rsidRPr="00AD43A5" w:rsidRDefault="007A175B" w:rsidP="00454236">
      <w:pPr>
        <w:pStyle w:val="Heading1"/>
      </w:pPr>
      <w:bookmarkStart w:id="15" w:name="_Toc207016838"/>
      <w:r w:rsidRPr="00AD43A5">
        <w:t>13. Definitions</w:t>
      </w:r>
      <w:bookmarkEnd w:id="15"/>
    </w:p>
    <w:p w14:paraId="3501F85C" w14:textId="469C1AD8" w:rsidR="007A175B" w:rsidRPr="00D1591D" w:rsidRDefault="007A175B" w:rsidP="00D82499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D1591D">
        <w:rPr>
          <w:rFonts w:ascii="Arial" w:hAnsi="Arial" w:cs="Arial"/>
          <w:b/>
          <w:bCs/>
        </w:rPr>
        <w:t>Data Owner</w:t>
      </w:r>
      <w:r w:rsidRPr="00D1591D">
        <w:rPr>
          <w:rFonts w:ascii="Arial" w:hAnsi="Arial" w:cs="Arial"/>
        </w:rPr>
        <w:t xml:space="preserve">: Person accountable for </w:t>
      </w:r>
      <w:r w:rsidR="00454236">
        <w:rPr>
          <w:rFonts w:ascii="Arial" w:hAnsi="Arial" w:cs="Arial"/>
        </w:rPr>
        <w:t xml:space="preserve">the </w:t>
      </w:r>
      <w:r w:rsidRPr="00D1591D">
        <w:rPr>
          <w:rFonts w:ascii="Arial" w:hAnsi="Arial" w:cs="Arial"/>
        </w:rPr>
        <w:t>data’s classification and use.</w:t>
      </w:r>
    </w:p>
    <w:p w14:paraId="27A1BA4A" w14:textId="77777777" w:rsidR="007A175B" w:rsidRPr="00D1591D" w:rsidRDefault="007A175B" w:rsidP="00D82499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D1591D">
        <w:rPr>
          <w:rFonts w:ascii="Arial" w:hAnsi="Arial" w:cs="Arial"/>
          <w:b/>
          <w:bCs/>
        </w:rPr>
        <w:t>Data Custodian</w:t>
      </w:r>
      <w:r w:rsidRPr="00D1591D">
        <w:rPr>
          <w:rFonts w:ascii="Arial" w:hAnsi="Arial" w:cs="Arial"/>
        </w:rPr>
        <w:t>: Person responsible for implementing controls.</w:t>
      </w:r>
    </w:p>
    <w:p w14:paraId="02746CB2" w14:textId="77777777" w:rsidR="007A175B" w:rsidRPr="00D1591D" w:rsidRDefault="007A175B" w:rsidP="00D82499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D1591D">
        <w:rPr>
          <w:rFonts w:ascii="Arial" w:hAnsi="Arial" w:cs="Arial"/>
          <w:b/>
          <w:bCs/>
        </w:rPr>
        <w:t>CIA Triad</w:t>
      </w:r>
      <w:r w:rsidRPr="00D1591D">
        <w:rPr>
          <w:rFonts w:ascii="Arial" w:hAnsi="Arial" w:cs="Arial"/>
        </w:rPr>
        <w:t>: Confidentiality, Integrity, Availability.</w:t>
      </w:r>
    </w:p>
    <w:p w14:paraId="47FB2946" w14:textId="07A5F3CA" w:rsidR="007A175B" w:rsidRPr="00454236" w:rsidRDefault="007A175B" w:rsidP="00D82499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D1591D">
        <w:rPr>
          <w:rFonts w:ascii="Arial" w:hAnsi="Arial" w:cs="Arial"/>
          <w:b/>
          <w:bCs/>
        </w:rPr>
        <w:t>DLP</w:t>
      </w:r>
      <w:r w:rsidRPr="00D1591D">
        <w:rPr>
          <w:rFonts w:ascii="Arial" w:hAnsi="Arial" w:cs="Arial"/>
        </w:rPr>
        <w:t>: Data Loss Prevention.</w:t>
      </w:r>
    </w:p>
    <w:p w14:paraId="096B4C9B" w14:textId="77777777" w:rsidR="007A175B" w:rsidRPr="00AD43A5" w:rsidRDefault="007A175B" w:rsidP="00454236">
      <w:pPr>
        <w:pStyle w:val="Heading1"/>
      </w:pPr>
      <w:bookmarkStart w:id="16" w:name="_Toc207016839"/>
      <w:r w:rsidRPr="00AD43A5">
        <w:t>14. Related Documents</w:t>
      </w:r>
      <w:bookmarkEnd w:id="16"/>
    </w:p>
    <w:p w14:paraId="7466988B" w14:textId="77777777" w:rsidR="007A175B" w:rsidRPr="00D1591D" w:rsidRDefault="007A175B" w:rsidP="00D82499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D1591D">
        <w:rPr>
          <w:rFonts w:ascii="Arial" w:hAnsi="Arial" w:cs="Arial"/>
        </w:rPr>
        <w:t>Information Security Policy</w:t>
      </w:r>
    </w:p>
    <w:p w14:paraId="1EF6FC37" w14:textId="77777777" w:rsidR="007A175B" w:rsidRPr="00D1591D" w:rsidRDefault="007A175B" w:rsidP="00D82499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D1591D">
        <w:rPr>
          <w:rFonts w:ascii="Arial" w:hAnsi="Arial" w:cs="Arial"/>
        </w:rPr>
        <w:t>Access Control Policy</w:t>
      </w:r>
    </w:p>
    <w:p w14:paraId="04369D3B" w14:textId="77777777" w:rsidR="007A175B" w:rsidRPr="00D1591D" w:rsidRDefault="007A175B" w:rsidP="00D82499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D1591D">
        <w:rPr>
          <w:rFonts w:ascii="Arial" w:hAnsi="Arial" w:cs="Arial"/>
        </w:rPr>
        <w:t>Secure Disposal Standard</w:t>
      </w:r>
    </w:p>
    <w:p w14:paraId="6726D060" w14:textId="7A652B89" w:rsidR="007A175B" w:rsidRPr="00454236" w:rsidRDefault="007A175B" w:rsidP="00D82499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D1591D">
        <w:rPr>
          <w:rFonts w:ascii="Arial" w:hAnsi="Arial" w:cs="Arial"/>
        </w:rPr>
        <w:t>Incident Response Plan</w:t>
      </w:r>
    </w:p>
    <w:p w14:paraId="5714ECDB" w14:textId="77777777" w:rsidR="007A175B" w:rsidRDefault="007A175B" w:rsidP="00454236">
      <w:pPr>
        <w:pStyle w:val="Heading1"/>
      </w:pPr>
      <w:bookmarkStart w:id="17" w:name="_Toc207016840"/>
      <w:r w:rsidRPr="00AD43A5">
        <w:t>15. Revision History</w:t>
      </w:r>
      <w:bookmarkEnd w:id="17"/>
    </w:p>
    <w:p w14:paraId="5334297E" w14:textId="77777777" w:rsidR="00D1591D" w:rsidRDefault="00D1591D" w:rsidP="00D82499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1591D" w14:paraId="597C5680" w14:textId="77777777" w:rsidTr="0081303B">
        <w:tc>
          <w:tcPr>
            <w:tcW w:w="2337" w:type="dxa"/>
          </w:tcPr>
          <w:p w14:paraId="5B5E1728" w14:textId="0F3574F3" w:rsidR="00D1591D" w:rsidRDefault="00D1591D" w:rsidP="00D82499">
            <w:pPr>
              <w:jc w:val="both"/>
            </w:pPr>
            <w:r w:rsidRPr="007A175B">
              <w:rPr>
                <w:rFonts w:ascii="Arial" w:hAnsi="Arial" w:cs="Arial"/>
                <w:b/>
                <w:bCs/>
              </w:rPr>
              <w:lastRenderedPageBreak/>
              <w:t>Version</w:t>
            </w:r>
          </w:p>
        </w:tc>
        <w:tc>
          <w:tcPr>
            <w:tcW w:w="2337" w:type="dxa"/>
          </w:tcPr>
          <w:p w14:paraId="43AB3A0A" w14:textId="4C2AE319" w:rsidR="00D1591D" w:rsidRDefault="00D1591D" w:rsidP="00D82499">
            <w:pPr>
              <w:jc w:val="both"/>
            </w:pPr>
            <w:r w:rsidRPr="007A175B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2338" w:type="dxa"/>
            <w:vAlign w:val="center"/>
          </w:tcPr>
          <w:p w14:paraId="1ADE69AD" w14:textId="76D46695" w:rsidR="00D1591D" w:rsidRDefault="00D1591D" w:rsidP="00D82499">
            <w:pPr>
              <w:jc w:val="both"/>
            </w:pPr>
            <w:r w:rsidRPr="007A175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338" w:type="dxa"/>
          </w:tcPr>
          <w:p w14:paraId="6188D5BB" w14:textId="50DEBB15" w:rsidR="00D1591D" w:rsidRDefault="00D1591D" w:rsidP="00D82499">
            <w:pPr>
              <w:jc w:val="both"/>
            </w:pPr>
            <w:r w:rsidRPr="007A175B">
              <w:rPr>
                <w:rFonts w:ascii="Arial" w:hAnsi="Arial" w:cs="Arial"/>
                <w:b/>
                <w:bCs/>
              </w:rPr>
              <w:t>Approved By</w:t>
            </w:r>
          </w:p>
        </w:tc>
      </w:tr>
      <w:tr w:rsidR="00D1591D" w14:paraId="4566DEEB" w14:textId="77777777" w:rsidTr="00126C8D">
        <w:tc>
          <w:tcPr>
            <w:tcW w:w="2337" w:type="dxa"/>
          </w:tcPr>
          <w:p w14:paraId="120F581A" w14:textId="675B156C" w:rsidR="00D1591D" w:rsidRDefault="00D1591D" w:rsidP="00D82499">
            <w:pPr>
              <w:jc w:val="both"/>
            </w:pPr>
            <w:r>
              <w:t>1.0</w:t>
            </w:r>
          </w:p>
        </w:tc>
        <w:tc>
          <w:tcPr>
            <w:tcW w:w="2337" w:type="dxa"/>
            <w:vAlign w:val="center"/>
          </w:tcPr>
          <w:p w14:paraId="71B38AA0" w14:textId="3AF54F97" w:rsidR="00D1591D" w:rsidRDefault="00D1591D" w:rsidP="00D82499">
            <w:pPr>
              <w:jc w:val="both"/>
            </w:pPr>
            <w:r w:rsidRPr="007A175B">
              <w:rPr>
                <w:rFonts w:ascii="Arial" w:hAnsi="Arial" w:cs="Arial"/>
              </w:rPr>
              <w:t>[Insert Date]</w:t>
            </w:r>
          </w:p>
        </w:tc>
        <w:tc>
          <w:tcPr>
            <w:tcW w:w="2338" w:type="dxa"/>
          </w:tcPr>
          <w:p w14:paraId="0FDA0A46" w14:textId="0F79F558" w:rsidR="00D1591D" w:rsidRDefault="00D1591D" w:rsidP="00D82499">
            <w:pPr>
              <w:jc w:val="both"/>
            </w:pPr>
            <w:r w:rsidRPr="007A175B">
              <w:rPr>
                <w:rFonts w:ascii="Arial" w:hAnsi="Arial" w:cs="Arial"/>
              </w:rPr>
              <w:t>Initial Release</w:t>
            </w:r>
          </w:p>
        </w:tc>
        <w:tc>
          <w:tcPr>
            <w:tcW w:w="2338" w:type="dxa"/>
          </w:tcPr>
          <w:p w14:paraId="3AC8D381" w14:textId="35D0E132" w:rsidR="00D1591D" w:rsidRDefault="00D1591D" w:rsidP="00D82499">
            <w:pPr>
              <w:jc w:val="both"/>
            </w:pPr>
            <w:r w:rsidRPr="007A175B">
              <w:rPr>
                <w:rFonts w:ascii="Arial" w:hAnsi="Arial" w:cs="Arial"/>
              </w:rPr>
              <w:t>[Approver]</w:t>
            </w:r>
          </w:p>
        </w:tc>
      </w:tr>
    </w:tbl>
    <w:p w14:paraId="2FD2ED55" w14:textId="77777777" w:rsidR="00D1591D" w:rsidRPr="00D1591D" w:rsidRDefault="00D1591D" w:rsidP="00D82499">
      <w:pPr>
        <w:jc w:val="both"/>
      </w:pPr>
    </w:p>
    <w:p w14:paraId="346D13E9" w14:textId="1D8939E9" w:rsidR="007A175B" w:rsidRPr="007A175B" w:rsidRDefault="007A175B" w:rsidP="00D82499">
      <w:pPr>
        <w:jc w:val="both"/>
        <w:rPr>
          <w:rFonts w:ascii="Arial" w:hAnsi="Arial" w:cs="Arial"/>
        </w:rPr>
      </w:pPr>
    </w:p>
    <w:p w14:paraId="57A19694" w14:textId="77777777" w:rsidR="007A175B" w:rsidRPr="007A175B" w:rsidRDefault="007A175B" w:rsidP="00D82499">
      <w:pPr>
        <w:pStyle w:val="Heading2"/>
        <w:jc w:val="both"/>
      </w:pPr>
      <w:bookmarkStart w:id="18" w:name="_Toc207016841"/>
      <w:r w:rsidRPr="007A175B">
        <w:t>Appendix A – Always Restricted Data Types</w:t>
      </w:r>
      <w:bookmarkEnd w:id="18"/>
    </w:p>
    <w:p w14:paraId="6D1A89CC" w14:textId="77777777" w:rsidR="007A175B" w:rsidRPr="00D1591D" w:rsidRDefault="007A175B" w:rsidP="00D82499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D1591D">
        <w:rPr>
          <w:rFonts w:ascii="Arial" w:hAnsi="Arial" w:cs="Arial"/>
        </w:rPr>
        <w:t>Authentication data (passwords, private keys).</w:t>
      </w:r>
    </w:p>
    <w:p w14:paraId="2E2555BD" w14:textId="77777777" w:rsidR="007A175B" w:rsidRPr="00D1591D" w:rsidRDefault="007A175B" w:rsidP="00D82499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D1591D">
        <w:rPr>
          <w:rFonts w:ascii="Arial" w:hAnsi="Arial" w:cs="Arial"/>
        </w:rPr>
        <w:t>Payment Card Information (PCI).</w:t>
      </w:r>
    </w:p>
    <w:p w14:paraId="69570C99" w14:textId="77777777" w:rsidR="007A175B" w:rsidRPr="00D1591D" w:rsidRDefault="007A175B" w:rsidP="00D82499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D1591D">
        <w:rPr>
          <w:rFonts w:ascii="Arial" w:hAnsi="Arial" w:cs="Arial"/>
        </w:rPr>
        <w:t>Personally Identifiable Information (PII).</w:t>
      </w:r>
    </w:p>
    <w:p w14:paraId="4B8B3AB9" w14:textId="77777777" w:rsidR="007A175B" w:rsidRPr="00D1591D" w:rsidRDefault="007A175B" w:rsidP="00D82499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D1591D">
        <w:rPr>
          <w:rFonts w:ascii="Arial" w:hAnsi="Arial" w:cs="Arial"/>
        </w:rPr>
        <w:t>Protected Health Information (PHI).</w:t>
      </w:r>
    </w:p>
    <w:p w14:paraId="6058BCAA" w14:textId="7A3F8719" w:rsidR="007A175B" w:rsidRPr="00D1591D" w:rsidRDefault="007A175B" w:rsidP="00D82499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D1591D">
        <w:rPr>
          <w:rFonts w:ascii="Arial" w:hAnsi="Arial" w:cs="Arial"/>
        </w:rPr>
        <w:t>Legal privileged communications.</w:t>
      </w:r>
    </w:p>
    <w:p w14:paraId="474ABBC5" w14:textId="77777777" w:rsidR="007A175B" w:rsidRPr="007A175B" w:rsidRDefault="007A175B" w:rsidP="00D82499">
      <w:pPr>
        <w:pStyle w:val="Heading2"/>
        <w:jc w:val="both"/>
      </w:pPr>
      <w:bookmarkStart w:id="19" w:name="_Toc207016842"/>
      <w:r w:rsidRPr="007A175B">
        <w:t>Appendix B – Data Inventory Register (Sample Fields)</w:t>
      </w:r>
      <w:bookmarkEnd w:id="19"/>
    </w:p>
    <w:p w14:paraId="191251A1" w14:textId="77777777" w:rsidR="007A175B" w:rsidRPr="00D1591D" w:rsidRDefault="007A175B" w:rsidP="00D82499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 w:rsidRPr="00D1591D">
        <w:rPr>
          <w:rFonts w:ascii="Arial" w:hAnsi="Arial" w:cs="Arial"/>
        </w:rPr>
        <w:t>Asset Name</w:t>
      </w:r>
    </w:p>
    <w:p w14:paraId="6ED257E4" w14:textId="77777777" w:rsidR="007A175B" w:rsidRPr="00D1591D" w:rsidRDefault="007A175B" w:rsidP="00D82499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 w:rsidRPr="00D1591D">
        <w:rPr>
          <w:rFonts w:ascii="Arial" w:hAnsi="Arial" w:cs="Arial"/>
        </w:rPr>
        <w:t>Owner / Custodian</w:t>
      </w:r>
    </w:p>
    <w:p w14:paraId="1682ADD5" w14:textId="77777777" w:rsidR="007A175B" w:rsidRPr="00D1591D" w:rsidRDefault="007A175B" w:rsidP="00D82499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 w:rsidRPr="00D1591D">
        <w:rPr>
          <w:rFonts w:ascii="Arial" w:hAnsi="Arial" w:cs="Arial"/>
        </w:rPr>
        <w:t>Classification (Public, Internal, Confidential, Restricted)</w:t>
      </w:r>
    </w:p>
    <w:p w14:paraId="2E537C5A" w14:textId="77777777" w:rsidR="007A175B" w:rsidRPr="00D1591D" w:rsidRDefault="007A175B" w:rsidP="00D82499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 w:rsidRPr="00D1591D">
        <w:rPr>
          <w:rFonts w:ascii="Arial" w:hAnsi="Arial" w:cs="Arial"/>
        </w:rPr>
        <w:t>CIA Impact (Low/Moderate/High)</w:t>
      </w:r>
    </w:p>
    <w:p w14:paraId="53D65678" w14:textId="77777777" w:rsidR="007A175B" w:rsidRPr="00D1591D" w:rsidRDefault="007A175B" w:rsidP="00D82499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 w:rsidRPr="00D1591D">
        <w:rPr>
          <w:rFonts w:ascii="Arial" w:hAnsi="Arial" w:cs="Arial"/>
        </w:rPr>
        <w:t>Location / System</w:t>
      </w:r>
    </w:p>
    <w:p w14:paraId="60C02843" w14:textId="77777777" w:rsidR="007A175B" w:rsidRPr="00D1591D" w:rsidRDefault="007A175B" w:rsidP="00D82499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 w:rsidRPr="00D1591D">
        <w:rPr>
          <w:rFonts w:ascii="Arial" w:hAnsi="Arial" w:cs="Arial"/>
        </w:rPr>
        <w:t>Retention Requirement</w:t>
      </w:r>
    </w:p>
    <w:p w14:paraId="46D5770B" w14:textId="77777777" w:rsidR="007A175B" w:rsidRPr="00D1591D" w:rsidRDefault="007A175B" w:rsidP="00D82499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 w:rsidRPr="00D1591D">
        <w:rPr>
          <w:rFonts w:ascii="Arial" w:hAnsi="Arial" w:cs="Arial"/>
        </w:rPr>
        <w:t>Disposal Method</w:t>
      </w:r>
    </w:p>
    <w:p w14:paraId="45337F40" w14:textId="3331AE03" w:rsidR="002176FF" w:rsidRPr="00AD43A5" w:rsidRDefault="002176FF">
      <w:pPr>
        <w:rPr>
          <w:rFonts w:ascii="Arial" w:hAnsi="Arial" w:cs="Arial"/>
        </w:rPr>
      </w:pPr>
    </w:p>
    <w:sectPr w:rsidR="002176FF" w:rsidRPr="00AD43A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A88418" w14:textId="77777777" w:rsidR="002606F6" w:rsidRDefault="002606F6" w:rsidP="00D82499">
      <w:pPr>
        <w:spacing w:after="0" w:line="240" w:lineRule="auto"/>
      </w:pPr>
      <w:r>
        <w:separator/>
      </w:r>
    </w:p>
  </w:endnote>
  <w:endnote w:type="continuationSeparator" w:id="0">
    <w:p w14:paraId="2E067A69" w14:textId="77777777" w:rsidR="002606F6" w:rsidRDefault="002606F6" w:rsidP="00D82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01059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21B260" w14:textId="6811FB5B" w:rsidR="00D82499" w:rsidRDefault="00D824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DCC6E9" w14:textId="77777777" w:rsidR="00D82499" w:rsidRDefault="00D824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560C4B" w14:textId="77777777" w:rsidR="002606F6" w:rsidRDefault="002606F6" w:rsidP="00D82499">
      <w:pPr>
        <w:spacing w:after="0" w:line="240" w:lineRule="auto"/>
      </w:pPr>
      <w:r>
        <w:separator/>
      </w:r>
    </w:p>
  </w:footnote>
  <w:footnote w:type="continuationSeparator" w:id="0">
    <w:p w14:paraId="047DFD80" w14:textId="77777777" w:rsidR="002606F6" w:rsidRDefault="002606F6" w:rsidP="00D82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9F8E0" w14:textId="1C97B098" w:rsidR="00D82499" w:rsidRPr="00454236" w:rsidRDefault="00D82499" w:rsidP="00D82499">
    <w:pPr>
      <w:pStyle w:val="Header"/>
      <w:jc w:val="center"/>
      <w:rPr>
        <w:rFonts w:ascii="Arial" w:hAnsi="Arial" w:cs="Arial"/>
      </w:rPr>
    </w:pPr>
    <w:r w:rsidRPr="00454236">
      <w:rPr>
        <w:rFonts w:ascii="Arial" w:hAnsi="Arial" w:cs="Arial"/>
      </w:rPr>
      <w:t>Made By Auxin 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75890"/>
    <w:multiLevelType w:val="hybridMultilevel"/>
    <w:tmpl w:val="A4A4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50F93"/>
    <w:multiLevelType w:val="multilevel"/>
    <w:tmpl w:val="60F6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E3EDA"/>
    <w:multiLevelType w:val="hybridMultilevel"/>
    <w:tmpl w:val="EDA47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36516"/>
    <w:multiLevelType w:val="multilevel"/>
    <w:tmpl w:val="930E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8363C"/>
    <w:multiLevelType w:val="multilevel"/>
    <w:tmpl w:val="BB5675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D63F9"/>
    <w:multiLevelType w:val="multilevel"/>
    <w:tmpl w:val="1214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3D2CFC"/>
    <w:multiLevelType w:val="multilevel"/>
    <w:tmpl w:val="1BEC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C57E18"/>
    <w:multiLevelType w:val="hybridMultilevel"/>
    <w:tmpl w:val="61020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D171C"/>
    <w:multiLevelType w:val="multilevel"/>
    <w:tmpl w:val="A1BC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0D3B48"/>
    <w:multiLevelType w:val="multilevel"/>
    <w:tmpl w:val="FB72E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90265D"/>
    <w:multiLevelType w:val="multilevel"/>
    <w:tmpl w:val="C94E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F167D5"/>
    <w:multiLevelType w:val="multilevel"/>
    <w:tmpl w:val="49EC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E54C9D"/>
    <w:multiLevelType w:val="hybridMultilevel"/>
    <w:tmpl w:val="E57C5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B21152"/>
    <w:multiLevelType w:val="hybridMultilevel"/>
    <w:tmpl w:val="7152B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5A69C4"/>
    <w:multiLevelType w:val="hybridMultilevel"/>
    <w:tmpl w:val="A1108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06145"/>
    <w:multiLevelType w:val="hybridMultilevel"/>
    <w:tmpl w:val="BED4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87B60"/>
    <w:multiLevelType w:val="multilevel"/>
    <w:tmpl w:val="C51E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FF31F5"/>
    <w:multiLevelType w:val="multilevel"/>
    <w:tmpl w:val="1AC0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F74162"/>
    <w:multiLevelType w:val="hybridMultilevel"/>
    <w:tmpl w:val="FF82D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9E3CB7"/>
    <w:multiLevelType w:val="multilevel"/>
    <w:tmpl w:val="E9E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1A5498"/>
    <w:multiLevelType w:val="hybridMultilevel"/>
    <w:tmpl w:val="14F8E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4334E"/>
    <w:multiLevelType w:val="hybridMultilevel"/>
    <w:tmpl w:val="EC4CE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3F4C7E"/>
    <w:multiLevelType w:val="hybridMultilevel"/>
    <w:tmpl w:val="7FC0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962901"/>
    <w:multiLevelType w:val="multilevel"/>
    <w:tmpl w:val="AEC2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B5225E"/>
    <w:multiLevelType w:val="hybridMultilevel"/>
    <w:tmpl w:val="7116E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7F5C6A"/>
    <w:multiLevelType w:val="multilevel"/>
    <w:tmpl w:val="FB72E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866F02"/>
    <w:multiLevelType w:val="multilevel"/>
    <w:tmpl w:val="D404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6F56DD"/>
    <w:multiLevelType w:val="multilevel"/>
    <w:tmpl w:val="6916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7640EE"/>
    <w:multiLevelType w:val="hybridMultilevel"/>
    <w:tmpl w:val="59406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7D2533"/>
    <w:multiLevelType w:val="hybridMultilevel"/>
    <w:tmpl w:val="83A0F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994FD0"/>
    <w:multiLevelType w:val="multilevel"/>
    <w:tmpl w:val="4D04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1006E0"/>
    <w:multiLevelType w:val="multilevel"/>
    <w:tmpl w:val="F59C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70518F"/>
    <w:multiLevelType w:val="hybridMultilevel"/>
    <w:tmpl w:val="55728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F21D07"/>
    <w:multiLevelType w:val="multilevel"/>
    <w:tmpl w:val="F59C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F34208"/>
    <w:multiLevelType w:val="multilevel"/>
    <w:tmpl w:val="EBEA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AA5EDA"/>
    <w:multiLevelType w:val="multilevel"/>
    <w:tmpl w:val="5308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370291"/>
    <w:multiLevelType w:val="hybridMultilevel"/>
    <w:tmpl w:val="41F6E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8568F4"/>
    <w:multiLevelType w:val="hybridMultilevel"/>
    <w:tmpl w:val="59DA7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616012">
    <w:abstractNumId w:val="30"/>
  </w:num>
  <w:num w:numId="2" w16cid:durableId="1322124827">
    <w:abstractNumId w:val="1"/>
  </w:num>
  <w:num w:numId="3" w16cid:durableId="305816369">
    <w:abstractNumId w:val="35"/>
  </w:num>
  <w:num w:numId="4" w16cid:durableId="379212768">
    <w:abstractNumId w:val="10"/>
  </w:num>
  <w:num w:numId="5" w16cid:durableId="1421442564">
    <w:abstractNumId w:val="4"/>
  </w:num>
  <w:num w:numId="6" w16cid:durableId="1147168385">
    <w:abstractNumId w:val="19"/>
  </w:num>
  <w:num w:numId="7" w16cid:durableId="179514547">
    <w:abstractNumId w:val="11"/>
  </w:num>
  <w:num w:numId="8" w16cid:durableId="575240357">
    <w:abstractNumId w:val="9"/>
  </w:num>
  <w:num w:numId="9" w16cid:durableId="335886662">
    <w:abstractNumId w:val="27"/>
  </w:num>
  <w:num w:numId="10" w16cid:durableId="165096514">
    <w:abstractNumId w:val="34"/>
  </w:num>
  <w:num w:numId="11" w16cid:durableId="1311905094">
    <w:abstractNumId w:val="6"/>
  </w:num>
  <w:num w:numId="12" w16cid:durableId="585530501">
    <w:abstractNumId w:val="23"/>
  </w:num>
  <w:num w:numId="13" w16cid:durableId="28382906">
    <w:abstractNumId w:val="26"/>
  </w:num>
  <w:num w:numId="14" w16cid:durableId="1169557514">
    <w:abstractNumId w:val="8"/>
  </w:num>
  <w:num w:numId="15" w16cid:durableId="940651278">
    <w:abstractNumId w:val="3"/>
  </w:num>
  <w:num w:numId="16" w16cid:durableId="2091929953">
    <w:abstractNumId w:val="5"/>
  </w:num>
  <w:num w:numId="17" w16cid:durableId="828715785">
    <w:abstractNumId w:val="16"/>
  </w:num>
  <w:num w:numId="18" w16cid:durableId="943923624">
    <w:abstractNumId w:val="36"/>
  </w:num>
  <w:num w:numId="19" w16cid:durableId="464081965">
    <w:abstractNumId w:val="0"/>
  </w:num>
  <w:num w:numId="20" w16cid:durableId="240915897">
    <w:abstractNumId w:val="2"/>
  </w:num>
  <w:num w:numId="21" w16cid:durableId="2016765346">
    <w:abstractNumId w:val="18"/>
  </w:num>
  <w:num w:numId="22" w16cid:durableId="1555462342">
    <w:abstractNumId w:val="7"/>
  </w:num>
  <w:num w:numId="23" w16cid:durableId="1534725949">
    <w:abstractNumId w:val="21"/>
  </w:num>
  <w:num w:numId="24" w16cid:durableId="913245875">
    <w:abstractNumId w:val="13"/>
  </w:num>
  <w:num w:numId="25" w16cid:durableId="1561747921">
    <w:abstractNumId w:val="22"/>
  </w:num>
  <w:num w:numId="26" w16cid:durableId="527529881">
    <w:abstractNumId w:val="32"/>
  </w:num>
  <w:num w:numId="27" w16cid:durableId="355236817">
    <w:abstractNumId w:val="25"/>
  </w:num>
  <w:num w:numId="28" w16cid:durableId="362245329">
    <w:abstractNumId w:val="24"/>
  </w:num>
  <w:num w:numId="29" w16cid:durableId="304966375">
    <w:abstractNumId w:val="29"/>
  </w:num>
  <w:num w:numId="30" w16cid:durableId="292559704">
    <w:abstractNumId w:val="15"/>
  </w:num>
  <w:num w:numId="31" w16cid:durableId="821897218">
    <w:abstractNumId w:val="17"/>
  </w:num>
  <w:num w:numId="32" w16cid:durableId="1647584824">
    <w:abstractNumId w:val="31"/>
  </w:num>
  <w:num w:numId="33" w16cid:durableId="64766012">
    <w:abstractNumId w:val="33"/>
  </w:num>
  <w:num w:numId="34" w16cid:durableId="2005929568">
    <w:abstractNumId w:val="14"/>
  </w:num>
  <w:num w:numId="35" w16cid:durableId="1907956194">
    <w:abstractNumId w:val="12"/>
  </w:num>
  <w:num w:numId="36" w16cid:durableId="249853015">
    <w:abstractNumId w:val="37"/>
  </w:num>
  <w:num w:numId="37" w16cid:durableId="865754990">
    <w:abstractNumId w:val="20"/>
  </w:num>
  <w:num w:numId="38" w16cid:durableId="53060650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75B"/>
    <w:rsid w:val="00092BA0"/>
    <w:rsid w:val="00186A63"/>
    <w:rsid w:val="002176FF"/>
    <w:rsid w:val="002606F6"/>
    <w:rsid w:val="003C0CF5"/>
    <w:rsid w:val="00454236"/>
    <w:rsid w:val="004C4668"/>
    <w:rsid w:val="00553C4F"/>
    <w:rsid w:val="00587CCF"/>
    <w:rsid w:val="006E1523"/>
    <w:rsid w:val="00762E07"/>
    <w:rsid w:val="007A175B"/>
    <w:rsid w:val="008C04A8"/>
    <w:rsid w:val="00AD43A5"/>
    <w:rsid w:val="00C30FA5"/>
    <w:rsid w:val="00D0027D"/>
    <w:rsid w:val="00D1591D"/>
    <w:rsid w:val="00D2608E"/>
    <w:rsid w:val="00D34F0D"/>
    <w:rsid w:val="00D64276"/>
    <w:rsid w:val="00D82499"/>
    <w:rsid w:val="00DF40F7"/>
    <w:rsid w:val="00F9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D3F11E"/>
  <w15:chartTrackingRefBased/>
  <w15:docId w15:val="{C579F171-93F7-4E4A-B28A-28195D3E1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4236"/>
    <w:pPr>
      <w:keepNext/>
      <w:keepLines/>
      <w:spacing w:before="480" w:after="0" w:line="276" w:lineRule="auto"/>
      <w:outlineLvl w:val="0"/>
    </w:pPr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92BA0"/>
    <w:pPr>
      <w:keepNext/>
      <w:keepLines/>
      <w:spacing w:before="200" w:after="0" w:line="276" w:lineRule="auto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2176FF"/>
    <w:pPr>
      <w:pBdr>
        <w:top w:val="none" w:sz="0" w:space="0" w:color="E5E7EB"/>
        <w:left w:val="none" w:sz="0" w:space="0" w:color="E5E7EB"/>
        <w:bottom w:val="none" w:sz="0" w:space="0" w:color="E5E7EB"/>
        <w:right w:val="none" w:sz="0" w:space="0" w:color="E5E7EB"/>
        <w:between w:val="none" w:sz="0" w:space="0" w:color="E5E7EB"/>
      </w:pBdr>
      <w:shd w:val="clear" w:color="auto" w:fill="D9D9D9" w:themeFill="background1" w:themeFillShade="D9"/>
      <w:spacing w:before="120" w:after="120" w:line="240" w:lineRule="auto"/>
      <w:ind w:left="562"/>
      <w:contextualSpacing/>
      <w:jc w:val="both"/>
    </w:pPr>
    <w:rPr>
      <w:rFonts w:ascii="Courier New" w:hAnsi="Courier New" w:cs="Courier New"/>
      <w:b/>
      <w:bCs/>
      <w:noProof/>
    </w:rPr>
  </w:style>
  <w:style w:type="character" w:customStyle="1" w:styleId="codeChar">
    <w:name w:val="code Char"/>
    <w:basedOn w:val="DefaultParagraphFont"/>
    <w:link w:val="code"/>
    <w:rsid w:val="002176FF"/>
    <w:rPr>
      <w:rFonts w:ascii="Courier New" w:hAnsi="Courier New" w:cs="Courier New"/>
      <w:b/>
      <w:bCs/>
      <w:noProof/>
      <w:shd w:val="clear" w:color="auto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092BA0"/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4236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7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7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7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7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7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7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7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7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7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75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1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82499"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824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249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82499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2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499"/>
  </w:style>
  <w:style w:type="paragraph" w:styleId="Footer">
    <w:name w:val="footer"/>
    <w:basedOn w:val="Normal"/>
    <w:link w:val="FooterChar"/>
    <w:uiPriority w:val="99"/>
    <w:unhideWhenUsed/>
    <w:rsid w:val="00D82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097AD26E33ED4A90F7AE37A9938173" ma:contentTypeVersion="14" ma:contentTypeDescription="Create a new document." ma:contentTypeScope="" ma:versionID="0ae4e34e4150f205ae9ce688affa4c2d">
  <xsd:schema xmlns:xsd="http://www.w3.org/2001/XMLSchema" xmlns:xs="http://www.w3.org/2001/XMLSchema" xmlns:p="http://schemas.microsoft.com/office/2006/metadata/properties" xmlns:ns2="6c9a2e9e-0286-461d-a7c7-065a3b8fbe21" xmlns:ns3="277a6d73-b267-4c86-94b8-a5b22d65defd" targetNamespace="http://schemas.microsoft.com/office/2006/metadata/properties" ma:root="true" ma:fieldsID="06d7a6671e60c63e7e2dd3380388f4d9" ns2:_="" ns3:_="">
    <xsd:import namespace="6c9a2e9e-0286-461d-a7c7-065a3b8fbe21"/>
    <xsd:import namespace="277a6d73-b267-4c86-94b8-a5b22d65de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a2e9e-0286-461d-a7c7-065a3b8fb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243cab1-cfcc-4b39-9992-c6ea35bd18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a6d73-b267-4c86-94b8-a5b22d65def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9a2e9e-0286-461d-a7c7-065a3b8fbe2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744A33-2B38-4DD8-AB71-69A28E2877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9a2e9e-0286-461d-a7c7-065a3b8fbe21"/>
    <ds:schemaRef ds:uri="277a6d73-b267-4c86-94b8-a5b22d65de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86C6F6-A90B-44AB-8574-5E30AD0C7A90}">
  <ds:schemaRefs>
    <ds:schemaRef ds:uri="http://schemas.microsoft.com/office/2006/metadata/properties"/>
    <ds:schemaRef ds:uri="http://schemas.microsoft.com/office/infopath/2007/PartnerControls"/>
    <ds:schemaRef ds:uri="6c9a2e9e-0286-461d-a7c7-065a3b8fbe21"/>
  </ds:schemaRefs>
</ds:datastoreItem>
</file>

<file path=customXml/itemProps3.xml><?xml version="1.0" encoding="utf-8"?>
<ds:datastoreItem xmlns:ds="http://schemas.openxmlformats.org/officeDocument/2006/customXml" ds:itemID="{5CDC99A3-B97E-45FE-B3CB-3C046BEC07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1079</Words>
  <Characters>7048</Characters>
  <Application>Microsoft Office Word</Application>
  <DocSecurity>0</DocSecurity>
  <Lines>243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Farman</dc:creator>
  <cp:keywords/>
  <dc:description/>
  <cp:lastModifiedBy>Zainab Farman</cp:lastModifiedBy>
  <cp:revision>2</cp:revision>
  <dcterms:created xsi:type="dcterms:W3CDTF">2025-08-25T06:11:00Z</dcterms:created>
  <dcterms:modified xsi:type="dcterms:W3CDTF">2025-08-25T20:15:00Z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b2a89f1c-6124-49db-a386-480486f54ba4</vt:lpwstr>
  </property>
  <property fmtid="{D5CDD505-2E9C-101B-9397-08002B2CF9AE}" pid="3" name="ContentTypeId">
    <vt:lpwstr>0x01010010097AD26E33ED4A90F7AE37A9938173</vt:lpwstr>
  </property>
  <property fmtid="{D5CDD505-2E9C-101B-9397-08002B2CF9AE}" pid="4" name="MediaServiceImageTags">
    <vt:lpwstr/>
  </property>
</Properties>
</file>