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55819" w14:textId="77777777" w:rsidR="00A761F4" w:rsidRDefault="00A761F4" w:rsidP="00A761F4">
      <w:pPr>
        <w:spacing w:after="0"/>
      </w:pPr>
    </w:p>
    <w:p w14:paraId="2D318A1B" w14:textId="77777777" w:rsidR="00A761F4" w:rsidRDefault="00A761F4" w:rsidP="00A761F4">
      <w:pPr>
        <w:spacing w:after="0"/>
      </w:pPr>
    </w:p>
    <w:p w14:paraId="608BEB2C" w14:textId="77777777" w:rsidR="00A761F4" w:rsidRDefault="00A761F4" w:rsidP="00A761F4">
      <w:pPr>
        <w:spacing w:after="0"/>
      </w:pPr>
    </w:p>
    <w:p w14:paraId="7A8B715D" w14:textId="77777777" w:rsidR="00F35322" w:rsidRDefault="00F35322" w:rsidP="00A761F4">
      <w:pPr>
        <w:spacing w:after="0"/>
      </w:pPr>
    </w:p>
    <w:p w14:paraId="69AF467D" w14:textId="77777777" w:rsidR="00F35322" w:rsidRDefault="00F35322" w:rsidP="00A761F4">
      <w:pPr>
        <w:spacing w:after="0"/>
      </w:pPr>
    </w:p>
    <w:p w14:paraId="44C7F415" w14:textId="77777777" w:rsidR="00F35322" w:rsidRDefault="00F35322" w:rsidP="00A761F4">
      <w:pPr>
        <w:spacing w:after="0"/>
      </w:pPr>
    </w:p>
    <w:p w14:paraId="79758096" w14:textId="77777777" w:rsidR="00F35322" w:rsidRDefault="00F35322" w:rsidP="00A761F4">
      <w:pPr>
        <w:spacing w:after="0"/>
      </w:pPr>
    </w:p>
    <w:p w14:paraId="551C90B0" w14:textId="77777777" w:rsidR="00F35322" w:rsidRDefault="00F35322" w:rsidP="00A761F4">
      <w:pPr>
        <w:spacing w:after="0"/>
      </w:pPr>
    </w:p>
    <w:p w14:paraId="72C9EE1E" w14:textId="77777777" w:rsidR="00A761F4" w:rsidRDefault="00A761F4" w:rsidP="00A761F4">
      <w:pPr>
        <w:spacing w:after="0"/>
      </w:pPr>
    </w:p>
    <w:p w14:paraId="47C0EDC2" w14:textId="34C9383B" w:rsidR="00A761F4" w:rsidRDefault="00A761F4" w:rsidP="00A761F4">
      <w:pPr>
        <w:spacing w:after="0"/>
      </w:pPr>
      <w:r w:rsidRPr="0096563B">
        <w:rPr>
          <w:rFonts w:ascii="Arial" w:hAnsi="Arial" w:cs="Arial"/>
          <w:noProof/>
        </w:rPr>
        <mc:AlternateContent>
          <mc:Choice Requires="wps">
            <w:drawing>
              <wp:anchor distT="0" distB="0" distL="114300" distR="114300" simplePos="0" relativeHeight="251661312" behindDoc="0" locked="0" layoutInCell="1" allowOverlap="1" wp14:anchorId="267F08C0" wp14:editId="727F7501">
                <wp:simplePos x="0" y="0"/>
                <wp:positionH relativeFrom="column">
                  <wp:posOffset>0</wp:posOffset>
                </wp:positionH>
                <wp:positionV relativeFrom="paragraph">
                  <wp:posOffset>19050</wp:posOffset>
                </wp:positionV>
                <wp:extent cx="5897880" cy="19050"/>
                <wp:effectExtent l="0" t="19050" r="45720" b="38100"/>
                <wp:wrapNone/>
                <wp:docPr id="910712586" name="Straight Connector 3"/>
                <wp:cNvGraphicFramePr/>
                <a:graphic xmlns:a="http://schemas.openxmlformats.org/drawingml/2006/main">
                  <a:graphicData uri="http://schemas.microsoft.com/office/word/2010/wordprocessingShape">
                    <wps:wsp>
                      <wps:cNvCnPr/>
                      <wps:spPr>
                        <a:xfrm flipV="1">
                          <a:off x="0" y="0"/>
                          <a:ext cx="5897880" cy="19050"/>
                        </a:xfrm>
                        <a:prstGeom prst="line">
                          <a:avLst/>
                        </a:prstGeom>
                        <a:ln w="57150">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594E9"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6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" strokecolor="#272727 [2749]" strokeweight="4.5pt">
                <v:stroke joinstyle="miter"/>
              </v:line>
            </w:pict>
          </mc:Fallback>
        </mc:AlternateContent>
      </w:r>
    </w:p>
    <w:p w14:paraId="4F6E04DE" w14:textId="77777777" w:rsidR="00A761F4" w:rsidRDefault="00A761F4" w:rsidP="00A761F4">
      <w:pPr>
        <w:spacing w:after="0"/>
      </w:pPr>
    </w:p>
    <w:p w14:paraId="3A92D0FF" w14:textId="77777777" w:rsidR="00A761F4" w:rsidRDefault="00A761F4" w:rsidP="00A761F4">
      <w:pPr>
        <w:spacing w:after="0"/>
        <w:jc w:val="center"/>
        <w:rPr>
          <w:rFonts w:ascii="Arial" w:hAnsi="Arial" w:cs="Arial"/>
          <w:b/>
          <w:bCs/>
          <w:sz w:val="48"/>
          <w:szCs w:val="48"/>
        </w:rPr>
      </w:pPr>
    </w:p>
    <w:p w14:paraId="235CA8EC" w14:textId="77777777" w:rsidR="00A761F4" w:rsidRDefault="00A761F4" w:rsidP="00A761F4">
      <w:pPr>
        <w:spacing w:after="0"/>
        <w:jc w:val="center"/>
        <w:rPr>
          <w:rFonts w:ascii="Arial" w:hAnsi="Arial" w:cs="Arial"/>
          <w:b/>
          <w:bCs/>
          <w:sz w:val="48"/>
          <w:szCs w:val="48"/>
        </w:rPr>
      </w:pPr>
    </w:p>
    <w:p w14:paraId="4ABD86E0" w14:textId="2D68AA5E" w:rsidR="00A761F4" w:rsidRPr="00B25D61" w:rsidRDefault="00A761F4" w:rsidP="00A761F4">
      <w:pPr>
        <w:spacing w:after="0"/>
        <w:jc w:val="center"/>
        <w:rPr>
          <w:rFonts w:ascii="Arial" w:hAnsi="Arial" w:cs="Arial"/>
          <w:b/>
          <w:bCs/>
          <w:sz w:val="48"/>
          <w:szCs w:val="48"/>
        </w:rPr>
      </w:pPr>
      <w:r w:rsidRPr="00B25D61">
        <w:rPr>
          <w:rFonts w:ascii="Arial" w:hAnsi="Arial" w:cs="Arial"/>
          <w:b/>
          <w:bCs/>
          <w:sz w:val="48"/>
          <w:szCs w:val="48"/>
        </w:rPr>
        <w:t>Cybersecurity Templates</w:t>
      </w:r>
    </w:p>
    <w:p w14:paraId="63EC0B20" w14:textId="040D3C8D" w:rsidR="00A761F4" w:rsidRPr="00B25D61" w:rsidRDefault="00A761F4" w:rsidP="00A761F4">
      <w:pPr>
        <w:spacing w:after="0"/>
        <w:jc w:val="center"/>
        <w:rPr>
          <w:rFonts w:ascii="Arial" w:hAnsi="Arial" w:cs="Arial"/>
          <w:b/>
          <w:bCs/>
          <w:color w:val="000000" w:themeColor="text1"/>
          <w:sz w:val="40"/>
          <w:szCs w:val="40"/>
        </w:rPr>
      </w:pPr>
      <w:r>
        <w:rPr>
          <w:rFonts w:ascii="Arial" w:hAnsi="Arial" w:cs="Arial"/>
          <w:b/>
          <w:bCs/>
          <w:color w:val="000000" w:themeColor="text1"/>
          <w:sz w:val="40"/>
          <w:szCs w:val="40"/>
        </w:rPr>
        <w:t>Regulatory Compliance Management Policy</w:t>
      </w:r>
    </w:p>
    <w:p w14:paraId="7173BCF6" w14:textId="77777777" w:rsidR="00A761F4" w:rsidRPr="0096563B" w:rsidRDefault="00A761F4" w:rsidP="00A761F4">
      <w:pPr>
        <w:spacing w:after="0"/>
        <w:jc w:val="center"/>
        <w:rPr>
          <w:rFonts w:ascii="Arial" w:hAnsi="Arial" w:cs="Arial"/>
          <w:b/>
          <w:bCs/>
          <w:color w:val="000000" w:themeColor="text1"/>
          <w:sz w:val="32"/>
          <w:szCs w:val="32"/>
        </w:rPr>
      </w:pPr>
    </w:p>
    <w:p w14:paraId="0025309E" w14:textId="77777777" w:rsidR="00A761F4" w:rsidRPr="0096563B" w:rsidRDefault="00A761F4" w:rsidP="00A761F4">
      <w:pPr>
        <w:spacing w:after="0"/>
        <w:jc w:val="center"/>
        <w:rPr>
          <w:rFonts w:ascii="Arial" w:hAnsi="Arial" w:cs="Arial"/>
          <w:b/>
          <w:bCs/>
          <w:color w:val="000000" w:themeColor="text1"/>
          <w:sz w:val="32"/>
          <w:szCs w:val="32"/>
        </w:rPr>
      </w:pPr>
    </w:p>
    <w:p w14:paraId="2DC6CBA1" w14:textId="77777777" w:rsidR="00A761F4" w:rsidRPr="0096563B" w:rsidRDefault="00A761F4" w:rsidP="00A761F4">
      <w:pPr>
        <w:spacing w:after="0"/>
        <w:jc w:val="center"/>
        <w:rPr>
          <w:rFonts w:ascii="Arial" w:hAnsi="Arial" w:cs="Arial"/>
          <w:b/>
          <w:bCs/>
          <w:color w:val="000000" w:themeColor="text1"/>
          <w:sz w:val="32"/>
          <w:szCs w:val="32"/>
        </w:rPr>
      </w:pPr>
    </w:p>
    <w:p w14:paraId="3E7EBC1A" w14:textId="77777777" w:rsidR="00A761F4" w:rsidRPr="0096563B" w:rsidRDefault="00A761F4" w:rsidP="00A761F4">
      <w:pPr>
        <w:spacing w:after="0"/>
        <w:jc w:val="center"/>
        <w:rPr>
          <w:rFonts w:ascii="Arial" w:hAnsi="Arial" w:cs="Arial"/>
          <w:b/>
          <w:bCs/>
          <w:color w:val="000000" w:themeColor="text1"/>
          <w:sz w:val="32"/>
          <w:szCs w:val="32"/>
        </w:rPr>
      </w:pPr>
      <w:r w:rsidRPr="0096563B">
        <w:rPr>
          <w:rFonts w:ascii="Arial" w:hAnsi="Arial" w:cs="Arial"/>
          <w:b/>
          <w:bCs/>
          <w:color w:val="000000" w:themeColor="text1"/>
          <w:sz w:val="32"/>
          <w:szCs w:val="32"/>
        </w:rPr>
        <w:t>August 2025</w:t>
      </w:r>
    </w:p>
    <w:p w14:paraId="1F0306CA" w14:textId="77777777" w:rsidR="00A761F4" w:rsidRPr="0096563B" w:rsidRDefault="00A761F4" w:rsidP="00A761F4">
      <w:pPr>
        <w:spacing w:after="0"/>
        <w:jc w:val="center"/>
        <w:rPr>
          <w:rFonts w:ascii="Arial" w:hAnsi="Arial" w:cs="Arial"/>
          <w:b/>
          <w:bCs/>
          <w:color w:val="000000" w:themeColor="text1"/>
          <w:sz w:val="32"/>
          <w:szCs w:val="32"/>
        </w:rPr>
      </w:pPr>
    </w:p>
    <w:p w14:paraId="522848F3" w14:textId="77777777" w:rsidR="00A761F4" w:rsidRPr="0096563B" w:rsidRDefault="00A761F4" w:rsidP="00A761F4">
      <w:pPr>
        <w:spacing w:after="0"/>
        <w:jc w:val="center"/>
        <w:rPr>
          <w:rFonts w:ascii="Arial" w:hAnsi="Arial" w:cs="Arial"/>
          <w:b/>
          <w:bCs/>
          <w:color w:val="000000" w:themeColor="text1"/>
          <w:sz w:val="32"/>
          <w:szCs w:val="32"/>
        </w:rPr>
      </w:pPr>
    </w:p>
    <w:p w14:paraId="6E837CBF" w14:textId="77777777" w:rsidR="00A761F4" w:rsidRPr="0096563B" w:rsidRDefault="00A761F4" w:rsidP="00A761F4">
      <w:pPr>
        <w:spacing w:after="0"/>
        <w:jc w:val="center"/>
        <w:rPr>
          <w:rFonts w:ascii="Arial" w:hAnsi="Arial" w:cs="Arial"/>
          <w:b/>
          <w:bCs/>
          <w:color w:val="000000" w:themeColor="text1"/>
          <w:sz w:val="32"/>
          <w:szCs w:val="32"/>
        </w:rPr>
      </w:pPr>
    </w:p>
    <w:p w14:paraId="03486A29" w14:textId="3104E936" w:rsidR="00A761F4" w:rsidRDefault="00A761F4" w:rsidP="00A761F4">
      <w:pPr>
        <w:rPr>
          <w:rFonts w:ascii="Arial" w:hAnsi="Arial" w:cs="Arial"/>
          <w:sz w:val="32"/>
          <w:szCs w:val="32"/>
        </w:rPr>
      </w:pPr>
      <w:r w:rsidRPr="0096563B">
        <w:rPr>
          <w:rFonts w:ascii="Arial" w:hAnsi="Arial" w:cs="Arial"/>
          <w:noProof/>
        </w:rPr>
        <mc:AlternateContent>
          <mc:Choice Requires="wps">
            <w:drawing>
              <wp:anchor distT="0" distB="0" distL="114300" distR="114300" simplePos="0" relativeHeight="251659264" behindDoc="0" locked="0" layoutInCell="1" allowOverlap="1" wp14:anchorId="5A34D94F" wp14:editId="38818803">
                <wp:simplePos x="0" y="0"/>
                <wp:positionH relativeFrom="column">
                  <wp:posOffset>0</wp:posOffset>
                </wp:positionH>
                <wp:positionV relativeFrom="paragraph">
                  <wp:posOffset>19050</wp:posOffset>
                </wp:positionV>
                <wp:extent cx="5897880" cy="19050"/>
                <wp:effectExtent l="0" t="19050" r="45720" b="38100"/>
                <wp:wrapNone/>
                <wp:docPr id="739701179" name="Straight Connector 3"/>
                <wp:cNvGraphicFramePr/>
                <a:graphic xmlns:a="http://schemas.openxmlformats.org/drawingml/2006/main">
                  <a:graphicData uri="http://schemas.microsoft.com/office/word/2010/wordprocessingShape">
                    <wps:wsp>
                      <wps:cNvCnPr/>
                      <wps:spPr>
                        <a:xfrm flipV="1">
                          <a:off x="0" y="0"/>
                          <a:ext cx="5897880" cy="19050"/>
                        </a:xfrm>
                        <a:prstGeom prst="line">
                          <a:avLst/>
                        </a:prstGeom>
                        <a:ln w="57150">
                          <a:solidFill>
                            <a:schemeClr val="tx1">
                              <a:lumMod val="85000"/>
                              <a:lumOff val="1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98ED4"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6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" strokecolor="#272727 [2749]" strokeweight="4.5pt">
                <v:stroke joinstyle="miter"/>
              </v:line>
            </w:pict>
          </mc:Fallback>
        </mc:AlternateContent>
      </w:r>
      <w:r w:rsidRPr="0096563B">
        <w:rPr>
          <w:rFonts w:ascii="Arial" w:hAnsi="Arial" w:cs="Arial"/>
          <w:sz w:val="32"/>
          <w:szCs w:val="32"/>
        </w:rPr>
        <w:br w:type="page"/>
      </w:r>
    </w:p>
    <w:tbl>
      <w:tblPr>
        <w:tblStyle w:val="TableGrid"/>
        <w:tblpPr w:leftFromText="180" w:rightFromText="180" w:vertAnchor="text" w:horzAnchor="margin" w:tblpY="-6"/>
        <w:tblW w:w="0" w:type="auto"/>
        <w:tblLook w:val="04A0" w:firstRow="1" w:lastRow="0" w:firstColumn="1" w:lastColumn="0" w:noHBand="0" w:noVBand="1"/>
      </w:tblPr>
      <w:tblGrid>
        <w:gridCol w:w="3116"/>
        <w:gridCol w:w="3117"/>
        <w:gridCol w:w="3117"/>
      </w:tblGrid>
      <w:tr w:rsidR="00A761F4" w:rsidRPr="00DF551E" w14:paraId="1187B5C1" w14:textId="77777777" w:rsidTr="00523C5F">
        <w:tc>
          <w:tcPr>
            <w:tcW w:w="3116" w:type="dxa"/>
          </w:tcPr>
          <w:p w14:paraId="0C1D5534" w14:textId="77777777" w:rsidR="00A761F4" w:rsidRPr="00DF551E" w:rsidRDefault="00A761F4" w:rsidP="00523C5F">
            <w:pPr>
              <w:rPr>
                <w:rFonts w:ascii="Arial" w:hAnsi="Arial" w:cs="Arial"/>
                <w:b/>
                <w:bCs/>
                <w:sz w:val="24"/>
                <w:szCs w:val="24"/>
              </w:rPr>
            </w:pPr>
            <w:r w:rsidRPr="00DF551E">
              <w:rPr>
                <w:rFonts w:ascii="Arial" w:hAnsi="Arial" w:cs="Arial"/>
                <w:b/>
                <w:bCs/>
                <w:sz w:val="24"/>
                <w:szCs w:val="24"/>
              </w:rPr>
              <w:lastRenderedPageBreak/>
              <w:t>Logo</w:t>
            </w:r>
          </w:p>
        </w:tc>
        <w:tc>
          <w:tcPr>
            <w:tcW w:w="3117" w:type="dxa"/>
          </w:tcPr>
          <w:p w14:paraId="5C5A691C" w14:textId="77777777" w:rsidR="00A761F4" w:rsidRPr="00DF551E" w:rsidRDefault="00A761F4" w:rsidP="00523C5F">
            <w:pPr>
              <w:rPr>
                <w:rFonts w:ascii="Arial" w:hAnsi="Arial" w:cs="Arial"/>
                <w:b/>
                <w:bCs/>
                <w:sz w:val="24"/>
                <w:szCs w:val="24"/>
              </w:rPr>
            </w:pPr>
            <w:r w:rsidRPr="00DF551E">
              <w:rPr>
                <w:rFonts w:ascii="Arial" w:hAnsi="Arial" w:cs="Arial"/>
                <w:b/>
                <w:bCs/>
                <w:sz w:val="24"/>
                <w:szCs w:val="24"/>
              </w:rPr>
              <w:t>&lt; Company Name&gt;</w:t>
            </w:r>
          </w:p>
        </w:tc>
        <w:tc>
          <w:tcPr>
            <w:tcW w:w="3117" w:type="dxa"/>
          </w:tcPr>
          <w:p w14:paraId="137F3101" w14:textId="77777777" w:rsidR="00A761F4" w:rsidRPr="00DF551E" w:rsidRDefault="00A761F4" w:rsidP="00523C5F">
            <w:pPr>
              <w:rPr>
                <w:rFonts w:ascii="Arial" w:hAnsi="Arial" w:cs="Arial"/>
                <w:b/>
                <w:bCs/>
                <w:sz w:val="24"/>
                <w:szCs w:val="24"/>
              </w:rPr>
            </w:pPr>
            <w:r w:rsidRPr="00DF551E">
              <w:rPr>
                <w:rFonts w:ascii="Arial" w:hAnsi="Arial" w:cs="Arial"/>
                <w:b/>
                <w:bCs/>
                <w:sz w:val="24"/>
                <w:szCs w:val="24"/>
              </w:rPr>
              <w:t>Normal</w:t>
            </w:r>
          </w:p>
        </w:tc>
      </w:tr>
    </w:tbl>
    <w:p w14:paraId="1E545E0B" w14:textId="77777777" w:rsidR="00A761F4" w:rsidRPr="00DF551E" w:rsidRDefault="00A761F4" w:rsidP="00A761F4">
      <w:pPr>
        <w:spacing w:after="0"/>
        <w:rPr>
          <w:rFonts w:ascii="Arial" w:hAnsi="Arial" w:cs="Arial"/>
        </w:rPr>
      </w:pPr>
    </w:p>
    <w:tbl>
      <w:tblPr>
        <w:tblStyle w:val="TableGrid"/>
        <w:tblW w:w="0" w:type="auto"/>
        <w:tblLook w:val="04A0" w:firstRow="1" w:lastRow="0" w:firstColumn="1" w:lastColumn="0" w:noHBand="0" w:noVBand="1"/>
      </w:tblPr>
      <w:tblGrid>
        <w:gridCol w:w="9350"/>
      </w:tblGrid>
      <w:tr w:rsidR="00A761F4" w:rsidRPr="00DF551E" w14:paraId="4FB2CE26" w14:textId="77777777" w:rsidTr="00523C5F">
        <w:tc>
          <w:tcPr>
            <w:tcW w:w="9350" w:type="dxa"/>
            <w:shd w:val="clear" w:color="auto" w:fill="D9D9D9" w:themeFill="background1" w:themeFillShade="D9"/>
          </w:tcPr>
          <w:p w14:paraId="25A896ED" w14:textId="7C13B97A" w:rsidR="00A761F4" w:rsidRPr="00DF551E" w:rsidRDefault="00A761F4" w:rsidP="00523C5F">
            <w:pPr>
              <w:jc w:val="center"/>
              <w:rPr>
                <w:rFonts w:ascii="Arial" w:hAnsi="Arial" w:cs="Arial"/>
                <w:b/>
                <w:bCs/>
                <w:color w:val="000000" w:themeColor="text1"/>
                <w:sz w:val="24"/>
                <w:szCs w:val="24"/>
              </w:rPr>
            </w:pPr>
            <w:r>
              <w:rPr>
                <w:rFonts w:ascii="Arial" w:hAnsi="Arial" w:cs="Arial"/>
                <w:b/>
                <w:bCs/>
                <w:color w:val="000000" w:themeColor="text1"/>
                <w:sz w:val="24"/>
                <w:szCs w:val="24"/>
              </w:rPr>
              <w:t>Regulatory Compliance Management Policy</w:t>
            </w:r>
          </w:p>
        </w:tc>
      </w:tr>
    </w:tbl>
    <w:p w14:paraId="199B6FA8" w14:textId="77777777" w:rsidR="00A761F4" w:rsidRPr="00DF551E" w:rsidRDefault="00A761F4" w:rsidP="00A761F4">
      <w:pPr>
        <w:spacing w:after="0" w:line="240" w:lineRule="auto"/>
        <w:rPr>
          <w:rFonts w:ascii="Arial" w:hAnsi="Arial" w:cs="Arial"/>
        </w:rPr>
      </w:pPr>
    </w:p>
    <w:tbl>
      <w:tblPr>
        <w:tblStyle w:val="TableGrid"/>
        <w:tblW w:w="0" w:type="auto"/>
        <w:tblLook w:val="04A0" w:firstRow="1" w:lastRow="0" w:firstColumn="1" w:lastColumn="0" w:noHBand="0" w:noVBand="1"/>
      </w:tblPr>
      <w:tblGrid>
        <w:gridCol w:w="2337"/>
        <w:gridCol w:w="3418"/>
        <w:gridCol w:w="1257"/>
        <w:gridCol w:w="2338"/>
      </w:tblGrid>
      <w:tr w:rsidR="00A761F4" w:rsidRPr="00DF551E" w14:paraId="53C36643" w14:textId="77777777" w:rsidTr="00A761F4">
        <w:trPr>
          <w:trHeight w:val="86"/>
        </w:trPr>
        <w:tc>
          <w:tcPr>
            <w:tcW w:w="2337" w:type="dxa"/>
          </w:tcPr>
          <w:p w14:paraId="7B17506D" w14:textId="6428E155" w:rsidR="00A761F4" w:rsidRPr="00DF551E" w:rsidRDefault="00A761F4" w:rsidP="00523C5F">
            <w:pPr>
              <w:rPr>
                <w:rFonts w:ascii="Arial" w:hAnsi="Arial" w:cs="Arial"/>
                <w:b/>
                <w:bCs/>
                <w:sz w:val="24"/>
                <w:szCs w:val="24"/>
              </w:rPr>
            </w:pPr>
            <w:r>
              <w:rPr>
                <w:rFonts w:ascii="Arial" w:hAnsi="Arial" w:cs="Arial"/>
                <w:b/>
                <w:bCs/>
                <w:sz w:val="24"/>
                <w:szCs w:val="24"/>
              </w:rPr>
              <w:t>Policy No</w:t>
            </w:r>
            <w:r w:rsidRPr="00DF551E">
              <w:rPr>
                <w:rFonts w:ascii="Arial" w:hAnsi="Arial" w:cs="Arial"/>
                <w:b/>
                <w:bCs/>
                <w:sz w:val="24"/>
                <w:szCs w:val="24"/>
              </w:rPr>
              <w:t>:</w:t>
            </w:r>
          </w:p>
        </w:tc>
        <w:tc>
          <w:tcPr>
            <w:tcW w:w="3418" w:type="dxa"/>
          </w:tcPr>
          <w:p w14:paraId="487561FA" w14:textId="0F08D476" w:rsidR="00A761F4" w:rsidRPr="00DF551E" w:rsidRDefault="00A761F4" w:rsidP="00523C5F">
            <w:pPr>
              <w:rPr>
                <w:rFonts w:ascii="Arial" w:hAnsi="Arial" w:cs="Arial"/>
                <w:sz w:val="24"/>
                <w:szCs w:val="24"/>
              </w:rPr>
            </w:pPr>
            <w:r w:rsidRPr="00434E91">
              <w:rPr>
                <w:rFonts w:ascii="Arial" w:hAnsi="Arial" w:cs="Arial"/>
                <w:sz w:val="24"/>
                <w:szCs w:val="24"/>
              </w:rPr>
              <w:t>[Assign Number]</w:t>
            </w:r>
          </w:p>
        </w:tc>
        <w:tc>
          <w:tcPr>
            <w:tcW w:w="1257" w:type="dxa"/>
          </w:tcPr>
          <w:p w14:paraId="5A3CA1BD" w14:textId="064260F7" w:rsidR="00A761F4" w:rsidRPr="00DF551E" w:rsidRDefault="00A761F4" w:rsidP="00523C5F">
            <w:pPr>
              <w:rPr>
                <w:rFonts w:ascii="Arial" w:hAnsi="Arial" w:cs="Arial"/>
                <w:b/>
                <w:bCs/>
                <w:sz w:val="24"/>
                <w:szCs w:val="24"/>
              </w:rPr>
            </w:pPr>
            <w:r>
              <w:rPr>
                <w:rFonts w:ascii="Arial" w:hAnsi="Arial" w:cs="Arial"/>
                <w:b/>
                <w:bCs/>
                <w:sz w:val="24"/>
                <w:szCs w:val="24"/>
              </w:rPr>
              <w:t>Effective Date</w:t>
            </w:r>
            <w:r w:rsidRPr="00DF551E">
              <w:rPr>
                <w:rFonts w:ascii="Arial" w:hAnsi="Arial" w:cs="Arial"/>
                <w:b/>
                <w:bCs/>
                <w:sz w:val="24"/>
                <w:szCs w:val="24"/>
              </w:rPr>
              <w:t>:</w:t>
            </w:r>
          </w:p>
        </w:tc>
        <w:tc>
          <w:tcPr>
            <w:tcW w:w="2338" w:type="dxa"/>
          </w:tcPr>
          <w:p w14:paraId="6315BB68" w14:textId="0380E997" w:rsidR="00A761F4" w:rsidRPr="00DF551E" w:rsidRDefault="00A761F4" w:rsidP="00523C5F">
            <w:pPr>
              <w:rPr>
                <w:rFonts w:ascii="Arial" w:hAnsi="Arial" w:cs="Arial"/>
                <w:sz w:val="24"/>
                <w:szCs w:val="24"/>
              </w:rPr>
            </w:pPr>
            <w:r w:rsidRPr="00434E91">
              <w:rPr>
                <w:rFonts w:ascii="Arial" w:hAnsi="Arial" w:cs="Arial"/>
                <w:sz w:val="24"/>
                <w:szCs w:val="24"/>
              </w:rPr>
              <w:t>[Insert Date]</w:t>
            </w:r>
          </w:p>
        </w:tc>
      </w:tr>
      <w:tr w:rsidR="00A761F4" w:rsidRPr="00DF551E" w14:paraId="6A8DBA66" w14:textId="77777777" w:rsidTr="00A761F4">
        <w:tc>
          <w:tcPr>
            <w:tcW w:w="2337" w:type="dxa"/>
          </w:tcPr>
          <w:p w14:paraId="0A36FE3F" w14:textId="3701C41F" w:rsidR="00A761F4" w:rsidRPr="00DF551E" w:rsidRDefault="00A761F4" w:rsidP="00523C5F">
            <w:pPr>
              <w:rPr>
                <w:rFonts w:ascii="Arial" w:hAnsi="Arial" w:cs="Arial"/>
                <w:b/>
                <w:bCs/>
                <w:sz w:val="24"/>
                <w:szCs w:val="24"/>
              </w:rPr>
            </w:pPr>
            <w:r>
              <w:rPr>
                <w:rFonts w:ascii="Arial" w:hAnsi="Arial" w:cs="Arial"/>
                <w:b/>
                <w:bCs/>
                <w:sz w:val="24"/>
                <w:szCs w:val="24"/>
              </w:rPr>
              <w:t>Owner</w:t>
            </w:r>
            <w:r w:rsidRPr="00DF551E">
              <w:rPr>
                <w:rFonts w:ascii="Arial" w:hAnsi="Arial" w:cs="Arial"/>
                <w:b/>
                <w:bCs/>
                <w:sz w:val="24"/>
                <w:szCs w:val="24"/>
              </w:rPr>
              <w:t>:</w:t>
            </w:r>
          </w:p>
        </w:tc>
        <w:tc>
          <w:tcPr>
            <w:tcW w:w="3418" w:type="dxa"/>
          </w:tcPr>
          <w:p w14:paraId="7AC46B8F" w14:textId="598861DA" w:rsidR="00A761F4" w:rsidRPr="00DF551E" w:rsidRDefault="00A761F4" w:rsidP="00523C5F">
            <w:pPr>
              <w:rPr>
                <w:rFonts w:ascii="Arial" w:hAnsi="Arial" w:cs="Arial"/>
                <w:sz w:val="24"/>
                <w:szCs w:val="24"/>
              </w:rPr>
            </w:pPr>
            <w:r w:rsidRPr="00434E91">
              <w:rPr>
                <w:rFonts w:ascii="Arial" w:hAnsi="Arial" w:cs="Arial"/>
                <w:sz w:val="24"/>
                <w:szCs w:val="24"/>
              </w:rPr>
              <w:t>[CISO / Compliance Manager]</w:t>
            </w:r>
          </w:p>
        </w:tc>
        <w:tc>
          <w:tcPr>
            <w:tcW w:w="1257" w:type="dxa"/>
          </w:tcPr>
          <w:p w14:paraId="5C5F4163" w14:textId="734F469A" w:rsidR="00A761F4" w:rsidRPr="00DF551E" w:rsidRDefault="00A761F4" w:rsidP="00523C5F">
            <w:pPr>
              <w:rPr>
                <w:rFonts w:ascii="Arial" w:hAnsi="Arial" w:cs="Arial"/>
                <w:b/>
                <w:bCs/>
                <w:sz w:val="24"/>
                <w:szCs w:val="24"/>
              </w:rPr>
            </w:pPr>
            <w:r>
              <w:rPr>
                <w:rFonts w:ascii="Arial" w:hAnsi="Arial" w:cs="Arial"/>
                <w:b/>
                <w:bCs/>
                <w:sz w:val="24"/>
                <w:szCs w:val="24"/>
              </w:rPr>
              <w:t>Review Cycle</w:t>
            </w:r>
            <w:r w:rsidRPr="00DF551E">
              <w:rPr>
                <w:rFonts w:ascii="Arial" w:hAnsi="Arial" w:cs="Arial"/>
                <w:b/>
                <w:bCs/>
                <w:sz w:val="24"/>
                <w:szCs w:val="24"/>
              </w:rPr>
              <w:t>:</w:t>
            </w:r>
          </w:p>
        </w:tc>
        <w:tc>
          <w:tcPr>
            <w:tcW w:w="2338" w:type="dxa"/>
          </w:tcPr>
          <w:p w14:paraId="4D5C574B" w14:textId="3F2A3714" w:rsidR="00A761F4" w:rsidRPr="00DF551E" w:rsidRDefault="00A761F4" w:rsidP="00523C5F">
            <w:pPr>
              <w:rPr>
                <w:rFonts w:ascii="Arial" w:hAnsi="Arial" w:cs="Arial"/>
                <w:sz w:val="24"/>
                <w:szCs w:val="24"/>
              </w:rPr>
            </w:pPr>
            <w:r w:rsidRPr="00434E91">
              <w:rPr>
                <w:rFonts w:ascii="Arial" w:hAnsi="Arial" w:cs="Arial"/>
                <w:sz w:val="24"/>
                <w:szCs w:val="24"/>
              </w:rPr>
              <w:t>[Annual / Biennial]</w:t>
            </w:r>
          </w:p>
        </w:tc>
      </w:tr>
    </w:tbl>
    <w:p w14:paraId="03200726" w14:textId="64F77D27" w:rsidR="00434E91" w:rsidRDefault="00434E91" w:rsidP="00434E91">
      <w:pPr>
        <w:rPr>
          <w:rFonts w:ascii="Arial" w:hAnsi="Arial" w:cs="Arial"/>
        </w:rPr>
      </w:pPr>
    </w:p>
    <w:sdt>
      <w:sdtPr>
        <w:id w:val="-537125259"/>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3FDB7FE" w14:textId="0DBC1B45" w:rsidR="00F35322" w:rsidRPr="00F35322" w:rsidRDefault="00F35322" w:rsidP="00F35322">
          <w:pPr>
            <w:pStyle w:val="TOCHeading"/>
            <w:jc w:val="center"/>
            <w:rPr>
              <w:color w:val="000000" w:themeColor="text1"/>
            </w:rPr>
          </w:pPr>
          <w:r w:rsidRPr="00F35322">
            <w:rPr>
              <w:color w:val="000000" w:themeColor="text1"/>
            </w:rPr>
            <w:t>Contents</w:t>
          </w:r>
        </w:p>
        <w:p w14:paraId="6CAEBB90" w14:textId="35CAE12C" w:rsidR="00F35322" w:rsidRDefault="00F353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7031435" w:history="1">
            <w:r w:rsidRPr="00A90697">
              <w:rPr>
                <w:rStyle w:val="Hyperlink"/>
                <w:noProof/>
              </w:rPr>
              <w:t>1. Purpose</w:t>
            </w:r>
            <w:r>
              <w:rPr>
                <w:noProof/>
                <w:webHidden/>
              </w:rPr>
              <w:tab/>
            </w:r>
            <w:r>
              <w:rPr>
                <w:noProof/>
                <w:webHidden/>
              </w:rPr>
              <w:fldChar w:fldCharType="begin"/>
            </w:r>
            <w:r>
              <w:rPr>
                <w:noProof/>
                <w:webHidden/>
              </w:rPr>
              <w:instrText xml:space="preserve"> PAGEREF _Toc207031435 \h </w:instrText>
            </w:r>
            <w:r>
              <w:rPr>
                <w:noProof/>
                <w:webHidden/>
              </w:rPr>
            </w:r>
            <w:r>
              <w:rPr>
                <w:noProof/>
                <w:webHidden/>
              </w:rPr>
              <w:fldChar w:fldCharType="separate"/>
            </w:r>
            <w:r>
              <w:rPr>
                <w:noProof/>
                <w:webHidden/>
              </w:rPr>
              <w:t>3</w:t>
            </w:r>
            <w:r>
              <w:rPr>
                <w:noProof/>
                <w:webHidden/>
              </w:rPr>
              <w:fldChar w:fldCharType="end"/>
            </w:r>
          </w:hyperlink>
        </w:p>
        <w:p w14:paraId="065E6912" w14:textId="358CFBCB" w:rsidR="00F35322" w:rsidRDefault="00F35322">
          <w:pPr>
            <w:pStyle w:val="TOC1"/>
            <w:tabs>
              <w:tab w:val="right" w:leader="dot" w:pos="9350"/>
            </w:tabs>
            <w:rPr>
              <w:rFonts w:eastAsiaTheme="minorEastAsia"/>
              <w:noProof/>
            </w:rPr>
          </w:pPr>
          <w:hyperlink w:anchor="_Toc207031436" w:history="1">
            <w:r w:rsidRPr="00A90697">
              <w:rPr>
                <w:rStyle w:val="Hyperlink"/>
                <w:noProof/>
              </w:rPr>
              <w:t>2. Scope</w:t>
            </w:r>
            <w:r>
              <w:rPr>
                <w:noProof/>
                <w:webHidden/>
              </w:rPr>
              <w:tab/>
            </w:r>
            <w:r>
              <w:rPr>
                <w:noProof/>
                <w:webHidden/>
              </w:rPr>
              <w:fldChar w:fldCharType="begin"/>
            </w:r>
            <w:r>
              <w:rPr>
                <w:noProof/>
                <w:webHidden/>
              </w:rPr>
              <w:instrText xml:space="preserve"> PAGEREF _Toc207031436 \h </w:instrText>
            </w:r>
            <w:r>
              <w:rPr>
                <w:noProof/>
                <w:webHidden/>
              </w:rPr>
            </w:r>
            <w:r>
              <w:rPr>
                <w:noProof/>
                <w:webHidden/>
              </w:rPr>
              <w:fldChar w:fldCharType="separate"/>
            </w:r>
            <w:r>
              <w:rPr>
                <w:noProof/>
                <w:webHidden/>
              </w:rPr>
              <w:t>3</w:t>
            </w:r>
            <w:r>
              <w:rPr>
                <w:noProof/>
                <w:webHidden/>
              </w:rPr>
              <w:fldChar w:fldCharType="end"/>
            </w:r>
          </w:hyperlink>
        </w:p>
        <w:p w14:paraId="6EF17E6D" w14:textId="4B10FC10" w:rsidR="00F35322" w:rsidRDefault="00F35322">
          <w:pPr>
            <w:pStyle w:val="TOC1"/>
            <w:tabs>
              <w:tab w:val="right" w:leader="dot" w:pos="9350"/>
            </w:tabs>
            <w:rPr>
              <w:rFonts w:eastAsiaTheme="minorEastAsia"/>
              <w:noProof/>
            </w:rPr>
          </w:pPr>
          <w:hyperlink w:anchor="_Toc207031437" w:history="1">
            <w:r w:rsidRPr="00A90697">
              <w:rPr>
                <w:rStyle w:val="Hyperlink"/>
                <w:noProof/>
              </w:rPr>
              <w:t>3. Objectives</w:t>
            </w:r>
            <w:r>
              <w:rPr>
                <w:noProof/>
                <w:webHidden/>
              </w:rPr>
              <w:tab/>
            </w:r>
            <w:r>
              <w:rPr>
                <w:noProof/>
                <w:webHidden/>
              </w:rPr>
              <w:fldChar w:fldCharType="begin"/>
            </w:r>
            <w:r>
              <w:rPr>
                <w:noProof/>
                <w:webHidden/>
              </w:rPr>
              <w:instrText xml:space="preserve"> PAGEREF _Toc207031437 \h </w:instrText>
            </w:r>
            <w:r>
              <w:rPr>
                <w:noProof/>
                <w:webHidden/>
              </w:rPr>
            </w:r>
            <w:r>
              <w:rPr>
                <w:noProof/>
                <w:webHidden/>
              </w:rPr>
              <w:fldChar w:fldCharType="separate"/>
            </w:r>
            <w:r>
              <w:rPr>
                <w:noProof/>
                <w:webHidden/>
              </w:rPr>
              <w:t>3</w:t>
            </w:r>
            <w:r>
              <w:rPr>
                <w:noProof/>
                <w:webHidden/>
              </w:rPr>
              <w:fldChar w:fldCharType="end"/>
            </w:r>
          </w:hyperlink>
        </w:p>
        <w:p w14:paraId="418BFFDA" w14:textId="30B39F9E" w:rsidR="00F35322" w:rsidRDefault="00F35322">
          <w:pPr>
            <w:pStyle w:val="TOC1"/>
            <w:tabs>
              <w:tab w:val="right" w:leader="dot" w:pos="9350"/>
            </w:tabs>
            <w:rPr>
              <w:rFonts w:eastAsiaTheme="minorEastAsia"/>
              <w:noProof/>
            </w:rPr>
          </w:pPr>
          <w:hyperlink w:anchor="_Toc207031438" w:history="1">
            <w:r w:rsidRPr="00A90697">
              <w:rPr>
                <w:rStyle w:val="Hyperlink"/>
                <w:noProof/>
              </w:rPr>
              <w:t>4. Regulatory Compliance Framework</w:t>
            </w:r>
            <w:r>
              <w:rPr>
                <w:noProof/>
                <w:webHidden/>
              </w:rPr>
              <w:tab/>
            </w:r>
            <w:r>
              <w:rPr>
                <w:noProof/>
                <w:webHidden/>
              </w:rPr>
              <w:fldChar w:fldCharType="begin"/>
            </w:r>
            <w:r>
              <w:rPr>
                <w:noProof/>
                <w:webHidden/>
              </w:rPr>
              <w:instrText xml:space="preserve"> PAGEREF _Toc207031438 \h </w:instrText>
            </w:r>
            <w:r>
              <w:rPr>
                <w:noProof/>
                <w:webHidden/>
              </w:rPr>
            </w:r>
            <w:r>
              <w:rPr>
                <w:noProof/>
                <w:webHidden/>
              </w:rPr>
              <w:fldChar w:fldCharType="separate"/>
            </w:r>
            <w:r>
              <w:rPr>
                <w:noProof/>
                <w:webHidden/>
              </w:rPr>
              <w:t>3</w:t>
            </w:r>
            <w:r>
              <w:rPr>
                <w:noProof/>
                <w:webHidden/>
              </w:rPr>
              <w:fldChar w:fldCharType="end"/>
            </w:r>
          </w:hyperlink>
        </w:p>
        <w:p w14:paraId="32E32989" w14:textId="5D06A0E2" w:rsidR="00F35322" w:rsidRDefault="00F35322">
          <w:pPr>
            <w:pStyle w:val="TOC1"/>
            <w:tabs>
              <w:tab w:val="right" w:leader="dot" w:pos="9350"/>
            </w:tabs>
            <w:rPr>
              <w:rFonts w:eastAsiaTheme="minorEastAsia"/>
              <w:noProof/>
            </w:rPr>
          </w:pPr>
          <w:hyperlink w:anchor="_Toc207031439" w:history="1">
            <w:r w:rsidRPr="00A90697">
              <w:rPr>
                <w:rStyle w:val="Hyperlink"/>
                <w:noProof/>
              </w:rPr>
              <w:t>5. Roles and Responsibilities</w:t>
            </w:r>
            <w:r>
              <w:rPr>
                <w:noProof/>
                <w:webHidden/>
              </w:rPr>
              <w:tab/>
            </w:r>
            <w:r>
              <w:rPr>
                <w:noProof/>
                <w:webHidden/>
              </w:rPr>
              <w:fldChar w:fldCharType="begin"/>
            </w:r>
            <w:r>
              <w:rPr>
                <w:noProof/>
                <w:webHidden/>
              </w:rPr>
              <w:instrText xml:space="preserve"> PAGEREF _Toc207031439 \h </w:instrText>
            </w:r>
            <w:r>
              <w:rPr>
                <w:noProof/>
                <w:webHidden/>
              </w:rPr>
            </w:r>
            <w:r>
              <w:rPr>
                <w:noProof/>
                <w:webHidden/>
              </w:rPr>
              <w:fldChar w:fldCharType="separate"/>
            </w:r>
            <w:r>
              <w:rPr>
                <w:noProof/>
                <w:webHidden/>
              </w:rPr>
              <w:t>4</w:t>
            </w:r>
            <w:r>
              <w:rPr>
                <w:noProof/>
                <w:webHidden/>
              </w:rPr>
              <w:fldChar w:fldCharType="end"/>
            </w:r>
          </w:hyperlink>
        </w:p>
        <w:p w14:paraId="4FBD305B" w14:textId="3B926899" w:rsidR="00F35322" w:rsidRDefault="00F35322">
          <w:pPr>
            <w:pStyle w:val="TOC1"/>
            <w:tabs>
              <w:tab w:val="right" w:leader="dot" w:pos="9350"/>
            </w:tabs>
            <w:rPr>
              <w:rFonts w:eastAsiaTheme="minorEastAsia"/>
              <w:noProof/>
            </w:rPr>
          </w:pPr>
          <w:hyperlink w:anchor="_Toc207031440" w:history="1">
            <w:r w:rsidRPr="00A90697">
              <w:rPr>
                <w:rStyle w:val="Hyperlink"/>
                <w:noProof/>
              </w:rPr>
              <w:t>6. Compliance Processes</w:t>
            </w:r>
            <w:r>
              <w:rPr>
                <w:noProof/>
                <w:webHidden/>
              </w:rPr>
              <w:tab/>
            </w:r>
            <w:r>
              <w:rPr>
                <w:noProof/>
                <w:webHidden/>
              </w:rPr>
              <w:fldChar w:fldCharType="begin"/>
            </w:r>
            <w:r>
              <w:rPr>
                <w:noProof/>
                <w:webHidden/>
              </w:rPr>
              <w:instrText xml:space="preserve"> PAGEREF _Toc207031440 \h </w:instrText>
            </w:r>
            <w:r>
              <w:rPr>
                <w:noProof/>
                <w:webHidden/>
              </w:rPr>
            </w:r>
            <w:r>
              <w:rPr>
                <w:noProof/>
                <w:webHidden/>
              </w:rPr>
              <w:fldChar w:fldCharType="separate"/>
            </w:r>
            <w:r>
              <w:rPr>
                <w:noProof/>
                <w:webHidden/>
              </w:rPr>
              <w:t>4</w:t>
            </w:r>
            <w:r>
              <w:rPr>
                <w:noProof/>
                <w:webHidden/>
              </w:rPr>
              <w:fldChar w:fldCharType="end"/>
            </w:r>
          </w:hyperlink>
        </w:p>
        <w:p w14:paraId="27F4E6C1" w14:textId="3BB83007" w:rsidR="00F35322" w:rsidRDefault="00F35322">
          <w:pPr>
            <w:pStyle w:val="TOC2"/>
            <w:tabs>
              <w:tab w:val="right" w:leader="dot" w:pos="9350"/>
            </w:tabs>
            <w:rPr>
              <w:rFonts w:eastAsiaTheme="minorEastAsia"/>
              <w:noProof/>
            </w:rPr>
          </w:pPr>
          <w:hyperlink w:anchor="_Toc207031441" w:history="1">
            <w:r w:rsidRPr="00A90697">
              <w:rPr>
                <w:rStyle w:val="Hyperlink"/>
                <w:noProof/>
              </w:rPr>
              <w:t>6.1 Regulatory Obligations Register</w:t>
            </w:r>
            <w:r>
              <w:rPr>
                <w:noProof/>
                <w:webHidden/>
              </w:rPr>
              <w:tab/>
            </w:r>
            <w:r>
              <w:rPr>
                <w:noProof/>
                <w:webHidden/>
              </w:rPr>
              <w:fldChar w:fldCharType="begin"/>
            </w:r>
            <w:r>
              <w:rPr>
                <w:noProof/>
                <w:webHidden/>
              </w:rPr>
              <w:instrText xml:space="preserve"> PAGEREF _Toc207031441 \h </w:instrText>
            </w:r>
            <w:r>
              <w:rPr>
                <w:noProof/>
                <w:webHidden/>
              </w:rPr>
            </w:r>
            <w:r>
              <w:rPr>
                <w:noProof/>
                <w:webHidden/>
              </w:rPr>
              <w:fldChar w:fldCharType="separate"/>
            </w:r>
            <w:r>
              <w:rPr>
                <w:noProof/>
                <w:webHidden/>
              </w:rPr>
              <w:t>4</w:t>
            </w:r>
            <w:r>
              <w:rPr>
                <w:noProof/>
                <w:webHidden/>
              </w:rPr>
              <w:fldChar w:fldCharType="end"/>
            </w:r>
          </w:hyperlink>
        </w:p>
        <w:p w14:paraId="79454FD4" w14:textId="2D00CECB" w:rsidR="00F35322" w:rsidRDefault="00F35322">
          <w:pPr>
            <w:pStyle w:val="TOC2"/>
            <w:tabs>
              <w:tab w:val="right" w:leader="dot" w:pos="9350"/>
            </w:tabs>
            <w:rPr>
              <w:rFonts w:eastAsiaTheme="minorEastAsia"/>
              <w:noProof/>
            </w:rPr>
          </w:pPr>
          <w:hyperlink w:anchor="_Toc207031442" w:history="1">
            <w:r w:rsidRPr="00A90697">
              <w:rPr>
                <w:rStyle w:val="Hyperlink"/>
                <w:noProof/>
              </w:rPr>
              <w:t>6.2 Statement of Applicability (SoA)</w:t>
            </w:r>
            <w:r>
              <w:rPr>
                <w:noProof/>
                <w:webHidden/>
              </w:rPr>
              <w:tab/>
            </w:r>
            <w:r>
              <w:rPr>
                <w:noProof/>
                <w:webHidden/>
              </w:rPr>
              <w:fldChar w:fldCharType="begin"/>
            </w:r>
            <w:r>
              <w:rPr>
                <w:noProof/>
                <w:webHidden/>
              </w:rPr>
              <w:instrText xml:space="preserve"> PAGEREF _Toc207031442 \h </w:instrText>
            </w:r>
            <w:r>
              <w:rPr>
                <w:noProof/>
                <w:webHidden/>
              </w:rPr>
            </w:r>
            <w:r>
              <w:rPr>
                <w:noProof/>
                <w:webHidden/>
              </w:rPr>
              <w:fldChar w:fldCharType="separate"/>
            </w:r>
            <w:r>
              <w:rPr>
                <w:noProof/>
                <w:webHidden/>
              </w:rPr>
              <w:t>5</w:t>
            </w:r>
            <w:r>
              <w:rPr>
                <w:noProof/>
                <w:webHidden/>
              </w:rPr>
              <w:fldChar w:fldCharType="end"/>
            </w:r>
          </w:hyperlink>
        </w:p>
        <w:p w14:paraId="7314706C" w14:textId="051EE330" w:rsidR="00F35322" w:rsidRDefault="00F35322">
          <w:pPr>
            <w:pStyle w:val="TOC2"/>
            <w:tabs>
              <w:tab w:val="right" w:leader="dot" w:pos="9350"/>
            </w:tabs>
            <w:rPr>
              <w:rFonts w:eastAsiaTheme="minorEastAsia"/>
              <w:noProof/>
            </w:rPr>
          </w:pPr>
          <w:hyperlink w:anchor="_Toc207031443" w:history="1">
            <w:r w:rsidRPr="00A90697">
              <w:rPr>
                <w:rStyle w:val="Hyperlink"/>
                <w:noProof/>
              </w:rPr>
              <w:t>6.3 Compliance Calendar</w:t>
            </w:r>
            <w:r>
              <w:rPr>
                <w:noProof/>
                <w:webHidden/>
              </w:rPr>
              <w:tab/>
            </w:r>
            <w:r>
              <w:rPr>
                <w:noProof/>
                <w:webHidden/>
              </w:rPr>
              <w:fldChar w:fldCharType="begin"/>
            </w:r>
            <w:r>
              <w:rPr>
                <w:noProof/>
                <w:webHidden/>
              </w:rPr>
              <w:instrText xml:space="preserve"> PAGEREF _Toc207031443 \h </w:instrText>
            </w:r>
            <w:r>
              <w:rPr>
                <w:noProof/>
                <w:webHidden/>
              </w:rPr>
            </w:r>
            <w:r>
              <w:rPr>
                <w:noProof/>
                <w:webHidden/>
              </w:rPr>
              <w:fldChar w:fldCharType="separate"/>
            </w:r>
            <w:r>
              <w:rPr>
                <w:noProof/>
                <w:webHidden/>
              </w:rPr>
              <w:t>5</w:t>
            </w:r>
            <w:r>
              <w:rPr>
                <w:noProof/>
                <w:webHidden/>
              </w:rPr>
              <w:fldChar w:fldCharType="end"/>
            </w:r>
          </w:hyperlink>
        </w:p>
        <w:p w14:paraId="7229DB8A" w14:textId="131388F6" w:rsidR="00F35322" w:rsidRDefault="00F35322">
          <w:pPr>
            <w:pStyle w:val="TOC2"/>
            <w:tabs>
              <w:tab w:val="right" w:leader="dot" w:pos="9350"/>
            </w:tabs>
            <w:rPr>
              <w:rFonts w:eastAsiaTheme="minorEastAsia"/>
              <w:noProof/>
            </w:rPr>
          </w:pPr>
          <w:hyperlink w:anchor="_Toc207031444" w:history="1">
            <w:r w:rsidRPr="00A90697">
              <w:rPr>
                <w:rStyle w:val="Hyperlink"/>
                <w:noProof/>
              </w:rPr>
              <w:t>6.4 Monitoring &amp; Auditing</w:t>
            </w:r>
            <w:r>
              <w:rPr>
                <w:noProof/>
                <w:webHidden/>
              </w:rPr>
              <w:tab/>
            </w:r>
            <w:r>
              <w:rPr>
                <w:noProof/>
                <w:webHidden/>
              </w:rPr>
              <w:fldChar w:fldCharType="begin"/>
            </w:r>
            <w:r>
              <w:rPr>
                <w:noProof/>
                <w:webHidden/>
              </w:rPr>
              <w:instrText xml:space="preserve"> PAGEREF _Toc207031444 \h </w:instrText>
            </w:r>
            <w:r>
              <w:rPr>
                <w:noProof/>
                <w:webHidden/>
              </w:rPr>
            </w:r>
            <w:r>
              <w:rPr>
                <w:noProof/>
                <w:webHidden/>
              </w:rPr>
              <w:fldChar w:fldCharType="separate"/>
            </w:r>
            <w:r>
              <w:rPr>
                <w:noProof/>
                <w:webHidden/>
              </w:rPr>
              <w:t>5</w:t>
            </w:r>
            <w:r>
              <w:rPr>
                <w:noProof/>
                <w:webHidden/>
              </w:rPr>
              <w:fldChar w:fldCharType="end"/>
            </w:r>
          </w:hyperlink>
        </w:p>
        <w:p w14:paraId="4AD82429" w14:textId="372972AC" w:rsidR="00F35322" w:rsidRDefault="00F35322">
          <w:pPr>
            <w:pStyle w:val="TOC2"/>
            <w:tabs>
              <w:tab w:val="right" w:leader="dot" w:pos="9350"/>
            </w:tabs>
            <w:rPr>
              <w:rFonts w:eastAsiaTheme="minorEastAsia"/>
              <w:noProof/>
            </w:rPr>
          </w:pPr>
          <w:hyperlink w:anchor="_Toc207031445" w:history="1">
            <w:r w:rsidRPr="00A90697">
              <w:rPr>
                <w:rStyle w:val="Hyperlink"/>
                <w:noProof/>
              </w:rPr>
              <w:t>6.5 Reporting</w:t>
            </w:r>
            <w:r>
              <w:rPr>
                <w:noProof/>
                <w:webHidden/>
              </w:rPr>
              <w:tab/>
            </w:r>
            <w:r>
              <w:rPr>
                <w:noProof/>
                <w:webHidden/>
              </w:rPr>
              <w:fldChar w:fldCharType="begin"/>
            </w:r>
            <w:r>
              <w:rPr>
                <w:noProof/>
                <w:webHidden/>
              </w:rPr>
              <w:instrText xml:space="preserve"> PAGEREF _Toc207031445 \h </w:instrText>
            </w:r>
            <w:r>
              <w:rPr>
                <w:noProof/>
                <w:webHidden/>
              </w:rPr>
            </w:r>
            <w:r>
              <w:rPr>
                <w:noProof/>
                <w:webHidden/>
              </w:rPr>
              <w:fldChar w:fldCharType="separate"/>
            </w:r>
            <w:r>
              <w:rPr>
                <w:noProof/>
                <w:webHidden/>
              </w:rPr>
              <w:t>5</w:t>
            </w:r>
            <w:r>
              <w:rPr>
                <w:noProof/>
                <w:webHidden/>
              </w:rPr>
              <w:fldChar w:fldCharType="end"/>
            </w:r>
          </w:hyperlink>
        </w:p>
        <w:p w14:paraId="60F00971" w14:textId="2B7BD97B" w:rsidR="00F35322" w:rsidRDefault="00F35322">
          <w:pPr>
            <w:pStyle w:val="TOC1"/>
            <w:tabs>
              <w:tab w:val="right" w:leader="dot" w:pos="9350"/>
            </w:tabs>
            <w:rPr>
              <w:rFonts w:eastAsiaTheme="minorEastAsia"/>
              <w:noProof/>
            </w:rPr>
          </w:pPr>
          <w:hyperlink w:anchor="_Toc207031446" w:history="1">
            <w:r w:rsidRPr="00A90697">
              <w:rPr>
                <w:rStyle w:val="Hyperlink"/>
                <w:noProof/>
              </w:rPr>
              <w:t>7. Third-Party &amp; Cloud Compliance</w:t>
            </w:r>
            <w:r>
              <w:rPr>
                <w:noProof/>
                <w:webHidden/>
              </w:rPr>
              <w:tab/>
            </w:r>
            <w:r>
              <w:rPr>
                <w:noProof/>
                <w:webHidden/>
              </w:rPr>
              <w:fldChar w:fldCharType="begin"/>
            </w:r>
            <w:r>
              <w:rPr>
                <w:noProof/>
                <w:webHidden/>
              </w:rPr>
              <w:instrText xml:space="preserve"> PAGEREF _Toc207031446 \h </w:instrText>
            </w:r>
            <w:r>
              <w:rPr>
                <w:noProof/>
                <w:webHidden/>
              </w:rPr>
            </w:r>
            <w:r>
              <w:rPr>
                <w:noProof/>
                <w:webHidden/>
              </w:rPr>
              <w:fldChar w:fldCharType="separate"/>
            </w:r>
            <w:r>
              <w:rPr>
                <w:noProof/>
                <w:webHidden/>
              </w:rPr>
              <w:t>5</w:t>
            </w:r>
            <w:r>
              <w:rPr>
                <w:noProof/>
                <w:webHidden/>
              </w:rPr>
              <w:fldChar w:fldCharType="end"/>
            </w:r>
          </w:hyperlink>
        </w:p>
        <w:p w14:paraId="73A71801" w14:textId="11255772" w:rsidR="00F35322" w:rsidRDefault="00F35322">
          <w:pPr>
            <w:pStyle w:val="TOC1"/>
            <w:tabs>
              <w:tab w:val="right" w:leader="dot" w:pos="9350"/>
            </w:tabs>
            <w:rPr>
              <w:rFonts w:eastAsiaTheme="minorEastAsia"/>
              <w:noProof/>
            </w:rPr>
          </w:pPr>
          <w:hyperlink w:anchor="_Toc207031447" w:history="1">
            <w:r w:rsidRPr="00A90697">
              <w:rPr>
                <w:rStyle w:val="Hyperlink"/>
                <w:noProof/>
              </w:rPr>
              <w:t>8. Training and Awareness</w:t>
            </w:r>
            <w:r>
              <w:rPr>
                <w:noProof/>
                <w:webHidden/>
              </w:rPr>
              <w:tab/>
            </w:r>
            <w:r>
              <w:rPr>
                <w:noProof/>
                <w:webHidden/>
              </w:rPr>
              <w:fldChar w:fldCharType="begin"/>
            </w:r>
            <w:r>
              <w:rPr>
                <w:noProof/>
                <w:webHidden/>
              </w:rPr>
              <w:instrText xml:space="preserve"> PAGEREF _Toc207031447 \h </w:instrText>
            </w:r>
            <w:r>
              <w:rPr>
                <w:noProof/>
                <w:webHidden/>
              </w:rPr>
            </w:r>
            <w:r>
              <w:rPr>
                <w:noProof/>
                <w:webHidden/>
              </w:rPr>
              <w:fldChar w:fldCharType="separate"/>
            </w:r>
            <w:r>
              <w:rPr>
                <w:noProof/>
                <w:webHidden/>
              </w:rPr>
              <w:t>5</w:t>
            </w:r>
            <w:r>
              <w:rPr>
                <w:noProof/>
                <w:webHidden/>
              </w:rPr>
              <w:fldChar w:fldCharType="end"/>
            </w:r>
          </w:hyperlink>
        </w:p>
        <w:p w14:paraId="6C50C40A" w14:textId="52E6605C" w:rsidR="00F35322" w:rsidRDefault="00F35322">
          <w:pPr>
            <w:pStyle w:val="TOC1"/>
            <w:tabs>
              <w:tab w:val="right" w:leader="dot" w:pos="9350"/>
            </w:tabs>
            <w:rPr>
              <w:rFonts w:eastAsiaTheme="minorEastAsia"/>
              <w:noProof/>
            </w:rPr>
          </w:pPr>
          <w:hyperlink w:anchor="_Toc207031448" w:history="1">
            <w:r w:rsidRPr="00A90697">
              <w:rPr>
                <w:rStyle w:val="Hyperlink"/>
                <w:noProof/>
              </w:rPr>
              <w:t>9. Exception Management</w:t>
            </w:r>
            <w:r>
              <w:rPr>
                <w:noProof/>
                <w:webHidden/>
              </w:rPr>
              <w:tab/>
            </w:r>
            <w:r>
              <w:rPr>
                <w:noProof/>
                <w:webHidden/>
              </w:rPr>
              <w:fldChar w:fldCharType="begin"/>
            </w:r>
            <w:r>
              <w:rPr>
                <w:noProof/>
                <w:webHidden/>
              </w:rPr>
              <w:instrText xml:space="preserve"> PAGEREF _Toc207031448 \h </w:instrText>
            </w:r>
            <w:r>
              <w:rPr>
                <w:noProof/>
                <w:webHidden/>
              </w:rPr>
            </w:r>
            <w:r>
              <w:rPr>
                <w:noProof/>
                <w:webHidden/>
              </w:rPr>
              <w:fldChar w:fldCharType="separate"/>
            </w:r>
            <w:r>
              <w:rPr>
                <w:noProof/>
                <w:webHidden/>
              </w:rPr>
              <w:t>5</w:t>
            </w:r>
            <w:r>
              <w:rPr>
                <w:noProof/>
                <w:webHidden/>
              </w:rPr>
              <w:fldChar w:fldCharType="end"/>
            </w:r>
          </w:hyperlink>
        </w:p>
        <w:p w14:paraId="717DA034" w14:textId="343BAD10" w:rsidR="00F35322" w:rsidRDefault="00F35322">
          <w:pPr>
            <w:pStyle w:val="TOC1"/>
            <w:tabs>
              <w:tab w:val="right" w:leader="dot" w:pos="9350"/>
            </w:tabs>
            <w:rPr>
              <w:rFonts w:eastAsiaTheme="minorEastAsia"/>
              <w:noProof/>
            </w:rPr>
          </w:pPr>
          <w:hyperlink w:anchor="_Toc207031449" w:history="1">
            <w:r w:rsidRPr="00A90697">
              <w:rPr>
                <w:rStyle w:val="Hyperlink"/>
                <w:noProof/>
              </w:rPr>
              <w:t>10. Metrics and Key Performance Indicators (KPIs)</w:t>
            </w:r>
            <w:r>
              <w:rPr>
                <w:noProof/>
                <w:webHidden/>
              </w:rPr>
              <w:tab/>
            </w:r>
            <w:r>
              <w:rPr>
                <w:noProof/>
                <w:webHidden/>
              </w:rPr>
              <w:fldChar w:fldCharType="begin"/>
            </w:r>
            <w:r>
              <w:rPr>
                <w:noProof/>
                <w:webHidden/>
              </w:rPr>
              <w:instrText xml:space="preserve"> PAGEREF _Toc207031449 \h </w:instrText>
            </w:r>
            <w:r>
              <w:rPr>
                <w:noProof/>
                <w:webHidden/>
              </w:rPr>
            </w:r>
            <w:r>
              <w:rPr>
                <w:noProof/>
                <w:webHidden/>
              </w:rPr>
              <w:fldChar w:fldCharType="separate"/>
            </w:r>
            <w:r>
              <w:rPr>
                <w:noProof/>
                <w:webHidden/>
              </w:rPr>
              <w:t>6</w:t>
            </w:r>
            <w:r>
              <w:rPr>
                <w:noProof/>
                <w:webHidden/>
              </w:rPr>
              <w:fldChar w:fldCharType="end"/>
            </w:r>
          </w:hyperlink>
        </w:p>
        <w:p w14:paraId="7B77CC5E" w14:textId="57E28D3C" w:rsidR="00F35322" w:rsidRDefault="00F35322">
          <w:pPr>
            <w:pStyle w:val="TOC1"/>
            <w:tabs>
              <w:tab w:val="right" w:leader="dot" w:pos="9350"/>
            </w:tabs>
            <w:rPr>
              <w:rFonts w:eastAsiaTheme="minorEastAsia"/>
              <w:noProof/>
            </w:rPr>
          </w:pPr>
          <w:hyperlink w:anchor="_Toc207031450" w:history="1">
            <w:r w:rsidRPr="00A90697">
              <w:rPr>
                <w:rStyle w:val="Hyperlink"/>
                <w:noProof/>
              </w:rPr>
              <w:t>11. Review and Continuous Improvement</w:t>
            </w:r>
            <w:r>
              <w:rPr>
                <w:noProof/>
                <w:webHidden/>
              </w:rPr>
              <w:tab/>
            </w:r>
            <w:r>
              <w:rPr>
                <w:noProof/>
                <w:webHidden/>
              </w:rPr>
              <w:fldChar w:fldCharType="begin"/>
            </w:r>
            <w:r>
              <w:rPr>
                <w:noProof/>
                <w:webHidden/>
              </w:rPr>
              <w:instrText xml:space="preserve"> PAGEREF _Toc207031450 \h </w:instrText>
            </w:r>
            <w:r>
              <w:rPr>
                <w:noProof/>
                <w:webHidden/>
              </w:rPr>
            </w:r>
            <w:r>
              <w:rPr>
                <w:noProof/>
                <w:webHidden/>
              </w:rPr>
              <w:fldChar w:fldCharType="separate"/>
            </w:r>
            <w:r>
              <w:rPr>
                <w:noProof/>
                <w:webHidden/>
              </w:rPr>
              <w:t>6</w:t>
            </w:r>
            <w:r>
              <w:rPr>
                <w:noProof/>
                <w:webHidden/>
              </w:rPr>
              <w:fldChar w:fldCharType="end"/>
            </w:r>
          </w:hyperlink>
        </w:p>
        <w:p w14:paraId="3DE83E7D" w14:textId="28597379" w:rsidR="00F35322" w:rsidRDefault="00F35322">
          <w:pPr>
            <w:pStyle w:val="TOC1"/>
            <w:tabs>
              <w:tab w:val="right" w:leader="dot" w:pos="9350"/>
            </w:tabs>
            <w:rPr>
              <w:rFonts w:eastAsiaTheme="minorEastAsia"/>
              <w:noProof/>
            </w:rPr>
          </w:pPr>
          <w:hyperlink w:anchor="_Toc207031451" w:history="1">
            <w:r w:rsidRPr="00A90697">
              <w:rPr>
                <w:rStyle w:val="Hyperlink"/>
                <w:noProof/>
              </w:rPr>
              <w:t>12. Related Documents</w:t>
            </w:r>
            <w:r>
              <w:rPr>
                <w:noProof/>
                <w:webHidden/>
              </w:rPr>
              <w:tab/>
            </w:r>
            <w:r>
              <w:rPr>
                <w:noProof/>
                <w:webHidden/>
              </w:rPr>
              <w:fldChar w:fldCharType="begin"/>
            </w:r>
            <w:r>
              <w:rPr>
                <w:noProof/>
                <w:webHidden/>
              </w:rPr>
              <w:instrText xml:space="preserve"> PAGEREF _Toc207031451 \h </w:instrText>
            </w:r>
            <w:r>
              <w:rPr>
                <w:noProof/>
                <w:webHidden/>
              </w:rPr>
            </w:r>
            <w:r>
              <w:rPr>
                <w:noProof/>
                <w:webHidden/>
              </w:rPr>
              <w:fldChar w:fldCharType="separate"/>
            </w:r>
            <w:r>
              <w:rPr>
                <w:noProof/>
                <w:webHidden/>
              </w:rPr>
              <w:t>6</w:t>
            </w:r>
            <w:r>
              <w:rPr>
                <w:noProof/>
                <w:webHidden/>
              </w:rPr>
              <w:fldChar w:fldCharType="end"/>
            </w:r>
          </w:hyperlink>
        </w:p>
        <w:p w14:paraId="11B2237F" w14:textId="0F4D51C6" w:rsidR="00F35322" w:rsidRDefault="00F35322">
          <w:pPr>
            <w:pStyle w:val="TOC1"/>
            <w:tabs>
              <w:tab w:val="right" w:leader="dot" w:pos="9350"/>
            </w:tabs>
            <w:rPr>
              <w:rFonts w:eastAsiaTheme="minorEastAsia"/>
              <w:noProof/>
            </w:rPr>
          </w:pPr>
          <w:hyperlink w:anchor="_Toc207031452" w:history="1">
            <w:r w:rsidRPr="00A90697">
              <w:rPr>
                <w:rStyle w:val="Hyperlink"/>
                <w:noProof/>
              </w:rPr>
              <w:t>13. Revision History</w:t>
            </w:r>
            <w:r>
              <w:rPr>
                <w:noProof/>
                <w:webHidden/>
              </w:rPr>
              <w:tab/>
            </w:r>
            <w:r>
              <w:rPr>
                <w:noProof/>
                <w:webHidden/>
              </w:rPr>
              <w:fldChar w:fldCharType="begin"/>
            </w:r>
            <w:r>
              <w:rPr>
                <w:noProof/>
                <w:webHidden/>
              </w:rPr>
              <w:instrText xml:space="preserve"> PAGEREF _Toc207031452 \h </w:instrText>
            </w:r>
            <w:r>
              <w:rPr>
                <w:noProof/>
                <w:webHidden/>
              </w:rPr>
            </w:r>
            <w:r>
              <w:rPr>
                <w:noProof/>
                <w:webHidden/>
              </w:rPr>
              <w:fldChar w:fldCharType="separate"/>
            </w:r>
            <w:r>
              <w:rPr>
                <w:noProof/>
                <w:webHidden/>
              </w:rPr>
              <w:t>6</w:t>
            </w:r>
            <w:r>
              <w:rPr>
                <w:noProof/>
                <w:webHidden/>
              </w:rPr>
              <w:fldChar w:fldCharType="end"/>
            </w:r>
          </w:hyperlink>
        </w:p>
        <w:p w14:paraId="7A0869B1" w14:textId="4C197812" w:rsidR="00F35322" w:rsidRDefault="00F35322">
          <w:pPr>
            <w:pStyle w:val="TOC2"/>
            <w:tabs>
              <w:tab w:val="right" w:leader="dot" w:pos="9350"/>
            </w:tabs>
            <w:rPr>
              <w:rFonts w:eastAsiaTheme="minorEastAsia"/>
              <w:noProof/>
            </w:rPr>
          </w:pPr>
          <w:hyperlink w:anchor="_Toc207031453" w:history="1">
            <w:r w:rsidRPr="00A90697">
              <w:rPr>
                <w:rStyle w:val="Hyperlink"/>
                <w:noProof/>
              </w:rPr>
              <w:t>Appendix A – Sample Regulatory Obligations Register</w:t>
            </w:r>
            <w:r>
              <w:rPr>
                <w:noProof/>
                <w:webHidden/>
              </w:rPr>
              <w:tab/>
            </w:r>
            <w:r>
              <w:rPr>
                <w:noProof/>
                <w:webHidden/>
              </w:rPr>
              <w:fldChar w:fldCharType="begin"/>
            </w:r>
            <w:r>
              <w:rPr>
                <w:noProof/>
                <w:webHidden/>
              </w:rPr>
              <w:instrText xml:space="preserve"> PAGEREF _Toc207031453 \h </w:instrText>
            </w:r>
            <w:r>
              <w:rPr>
                <w:noProof/>
                <w:webHidden/>
              </w:rPr>
            </w:r>
            <w:r>
              <w:rPr>
                <w:noProof/>
                <w:webHidden/>
              </w:rPr>
              <w:fldChar w:fldCharType="separate"/>
            </w:r>
            <w:r>
              <w:rPr>
                <w:noProof/>
                <w:webHidden/>
              </w:rPr>
              <w:t>6</w:t>
            </w:r>
            <w:r>
              <w:rPr>
                <w:noProof/>
                <w:webHidden/>
              </w:rPr>
              <w:fldChar w:fldCharType="end"/>
            </w:r>
          </w:hyperlink>
        </w:p>
        <w:p w14:paraId="2FCBB219" w14:textId="57340B79" w:rsidR="00F35322" w:rsidRDefault="00F35322">
          <w:pPr>
            <w:pStyle w:val="TOC2"/>
            <w:tabs>
              <w:tab w:val="right" w:leader="dot" w:pos="9350"/>
            </w:tabs>
            <w:rPr>
              <w:rFonts w:eastAsiaTheme="minorEastAsia"/>
              <w:noProof/>
            </w:rPr>
          </w:pPr>
          <w:hyperlink w:anchor="_Toc207031454" w:history="1">
            <w:r w:rsidRPr="00A90697">
              <w:rPr>
                <w:rStyle w:val="Hyperlink"/>
                <w:noProof/>
              </w:rPr>
              <w:t>Appendix B – Compliance Calendar (Sample)</w:t>
            </w:r>
            <w:r>
              <w:rPr>
                <w:noProof/>
                <w:webHidden/>
              </w:rPr>
              <w:tab/>
            </w:r>
            <w:r>
              <w:rPr>
                <w:noProof/>
                <w:webHidden/>
              </w:rPr>
              <w:fldChar w:fldCharType="begin"/>
            </w:r>
            <w:r>
              <w:rPr>
                <w:noProof/>
                <w:webHidden/>
              </w:rPr>
              <w:instrText xml:space="preserve"> PAGEREF _Toc207031454 \h </w:instrText>
            </w:r>
            <w:r>
              <w:rPr>
                <w:noProof/>
                <w:webHidden/>
              </w:rPr>
            </w:r>
            <w:r>
              <w:rPr>
                <w:noProof/>
                <w:webHidden/>
              </w:rPr>
              <w:fldChar w:fldCharType="separate"/>
            </w:r>
            <w:r>
              <w:rPr>
                <w:noProof/>
                <w:webHidden/>
              </w:rPr>
              <w:t>7</w:t>
            </w:r>
            <w:r>
              <w:rPr>
                <w:noProof/>
                <w:webHidden/>
              </w:rPr>
              <w:fldChar w:fldCharType="end"/>
            </w:r>
          </w:hyperlink>
        </w:p>
        <w:p w14:paraId="347C3A3B" w14:textId="2ADA910E" w:rsidR="00F35322" w:rsidRDefault="00F35322">
          <w:pPr>
            <w:pStyle w:val="TOC2"/>
            <w:tabs>
              <w:tab w:val="right" w:leader="dot" w:pos="9350"/>
            </w:tabs>
            <w:rPr>
              <w:rFonts w:eastAsiaTheme="minorEastAsia"/>
              <w:noProof/>
            </w:rPr>
          </w:pPr>
          <w:hyperlink w:anchor="_Toc207031455" w:history="1">
            <w:r w:rsidRPr="00A90697">
              <w:rPr>
                <w:rStyle w:val="Hyperlink"/>
                <w:noProof/>
              </w:rPr>
              <w:t>Appendix C – Compliance Metrics Dashboard (Sample)</w:t>
            </w:r>
            <w:r>
              <w:rPr>
                <w:noProof/>
                <w:webHidden/>
              </w:rPr>
              <w:tab/>
            </w:r>
            <w:r>
              <w:rPr>
                <w:noProof/>
                <w:webHidden/>
              </w:rPr>
              <w:fldChar w:fldCharType="begin"/>
            </w:r>
            <w:r>
              <w:rPr>
                <w:noProof/>
                <w:webHidden/>
              </w:rPr>
              <w:instrText xml:space="preserve"> PAGEREF _Toc207031455 \h </w:instrText>
            </w:r>
            <w:r>
              <w:rPr>
                <w:noProof/>
                <w:webHidden/>
              </w:rPr>
            </w:r>
            <w:r>
              <w:rPr>
                <w:noProof/>
                <w:webHidden/>
              </w:rPr>
              <w:fldChar w:fldCharType="separate"/>
            </w:r>
            <w:r>
              <w:rPr>
                <w:noProof/>
                <w:webHidden/>
              </w:rPr>
              <w:t>7</w:t>
            </w:r>
            <w:r>
              <w:rPr>
                <w:noProof/>
                <w:webHidden/>
              </w:rPr>
              <w:fldChar w:fldCharType="end"/>
            </w:r>
          </w:hyperlink>
        </w:p>
        <w:p w14:paraId="287D5EC8" w14:textId="0087F66A" w:rsidR="00A761F4" w:rsidRPr="00F35322" w:rsidRDefault="00F35322" w:rsidP="00434E91">
          <w:pPr>
            <w:rPr>
              <w:b/>
              <w:bCs/>
              <w:noProof/>
            </w:rPr>
          </w:pPr>
          <w:r>
            <w:rPr>
              <w:b/>
              <w:bCs/>
              <w:noProof/>
            </w:rPr>
            <w:fldChar w:fldCharType="end"/>
          </w:r>
          <w:r>
            <w:rPr>
              <w:b/>
              <w:bCs/>
              <w:noProof/>
            </w:rPr>
            <w:br w:type="page"/>
          </w:r>
        </w:p>
      </w:sdtContent>
    </w:sdt>
    <w:p w14:paraId="7EBEF659" w14:textId="77777777" w:rsidR="00434E91" w:rsidRPr="00434E91" w:rsidRDefault="00434E91" w:rsidP="00434E91">
      <w:pPr>
        <w:pStyle w:val="Heading1"/>
      </w:pPr>
      <w:bookmarkStart w:id="0" w:name="_Toc207031435"/>
      <w:r w:rsidRPr="00434E91">
        <w:lastRenderedPageBreak/>
        <w:t>1. Purpose</w:t>
      </w:r>
      <w:bookmarkEnd w:id="0"/>
    </w:p>
    <w:p w14:paraId="6323F58D" w14:textId="37D553E6" w:rsidR="00434E91" w:rsidRPr="00434E91" w:rsidRDefault="00434E91" w:rsidP="006774C9">
      <w:pPr>
        <w:jc w:val="both"/>
        <w:rPr>
          <w:rFonts w:ascii="Arial" w:hAnsi="Arial" w:cs="Arial"/>
        </w:rPr>
      </w:pPr>
      <w:r w:rsidRPr="00434E91">
        <w:rPr>
          <w:rFonts w:ascii="Arial" w:hAnsi="Arial" w:cs="Arial"/>
        </w:rPr>
        <w:t>The purpose of this policy is to establish a governance framework for ensuring the organization’s compliance with applicable laws, regulations, and industry standards related to information security and data protection. This framework enables the organization to reduce regulatory risk, demonstrate accountability, and maintain trust with stakeholders.</w:t>
      </w:r>
    </w:p>
    <w:p w14:paraId="759005CD" w14:textId="77777777" w:rsidR="00434E91" w:rsidRPr="00434E91" w:rsidRDefault="00434E91" w:rsidP="006774C9">
      <w:pPr>
        <w:pStyle w:val="Heading1"/>
        <w:jc w:val="both"/>
      </w:pPr>
      <w:bookmarkStart w:id="1" w:name="_Toc207031436"/>
      <w:r w:rsidRPr="00434E91">
        <w:t>2. Scope</w:t>
      </w:r>
      <w:bookmarkEnd w:id="1"/>
    </w:p>
    <w:p w14:paraId="313B72AC" w14:textId="77777777" w:rsidR="00434E91" w:rsidRPr="00434E91" w:rsidRDefault="00434E91" w:rsidP="006774C9">
      <w:pPr>
        <w:jc w:val="both"/>
        <w:rPr>
          <w:rFonts w:ascii="Arial" w:hAnsi="Arial" w:cs="Arial"/>
        </w:rPr>
      </w:pPr>
      <w:r w:rsidRPr="00434E91">
        <w:rPr>
          <w:rFonts w:ascii="Arial" w:hAnsi="Arial" w:cs="Arial"/>
        </w:rPr>
        <w:t>This policy applies to:</w:t>
      </w:r>
    </w:p>
    <w:p w14:paraId="50AB0B39" w14:textId="77777777" w:rsidR="00434E91" w:rsidRPr="00A761F4" w:rsidRDefault="00434E91" w:rsidP="006774C9">
      <w:pPr>
        <w:pStyle w:val="ListParagraph"/>
        <w:numPr>
          <w:ilvl w:val="0"/>
          <w:numId w:val="15"/>
        </w:numPr>
        <w:jc w:val="both"/>
        <w:rPr>
          <w:rFonts w:ascii="Arial" w:hAnsi="Arial" w:cs="Arial"/>
        </w:rPr>
      </w:pPr>
      <w:r w:rsidRPr="00A761F4">
        <w:rPr>
          <w:rFonts w:ascii="Arial" w:hAnsi="Arial" w:cs="Arial"/>
        </w:rPr>
        <w:t>All organizational entities, subsidiaries, and business units.</w:t>
      </w:r>
    </w:p>
    <w:p w14:paraId="4CDA6246" w14:textId="77777777" w:rsidR="00434E91" w:rsidRPr="00A761F4" w:rsidRDefault="00434E91" w:rsidP="006774C9">
      <w:pPr>
        <w:pStyle w:val="ListParagraph"/>
        <w:numPr>
          <w:ilvl w:val="0"/>
          <w:numId w:val="15"/>
        </w:numPr>
        <w:jc w:val="both"/>
        <w:rPr>
          <w:rFonts w:ascii="Arial" w:hAnsi="Arial" w:cs="Arial"/>
        </w:rPr>
      </w:pPr>
      <w:r w:rsidRPr="00A761F4">
        <w:rPr>
          <w:rFonts w:ascii="Arial" w:hAnsi="Arial" w:cs="Arial"/>
        </w:rPr>
        <w:t>All employees, contractors, and third parties handling regulated data.</w:t>
      </w:r>
    </w:p>
    <w:p w14:paraId="7DD3B86A" w14:textId="186DB90E" w:rsidR="00434E91" w:rsidRPr="00A761F4" w:rsidRDefault="00434E91" w:rsidP="006774C9">
      <w:pPr>
        <w:pStyle w:val="ListParagraph"/>
        <w:numPr>
          <w:ilvl w:val="0"/>
          <w:numId w:val="15"/>
        </w:numPr>
        <w:jc w:val="both"/>
        <w:rPr>
          <w:rFonts w:ascii="Arial" w:hAnsi="Arial" w:cs="Arial"/>
        </w:rPr>
      </w:pPr>
      <w:r w:rsidRPr="00A761F4">
        <w:rPr>
          <w:rFonts w:ascii="Arial" w:hAnsi="Arial" w:cs="Arial"/>
        </w:rPr>
        <w:t>All information assets, systems, and processes are subject to regulatory or contractual obligations.</w:t>
      </w:r>
    </w:p>
    <w:p w14:paraId="588939E3" w14:textId="77777777" w:rsidR="00434E91" w:rsidRPr="00434E91" w:rsidRDefault="00434E91" w:rsidP="006774C9">
      <w:pPr>
        <w:pStyle w:val="Heading1"/>
        <w:jc w:val="both"/>
      </w:pPr>
      <w:bookmarkStart w:id="2" w:name="_Toc207031437"/>
      <w:r w:rsidRPr="00434E91">
        <w:t>3. Objectives</w:t>
      </w:r>
      <w:bookmarkEnd w:id="2"/>
    </w:p>
    <w:p w14:paraId="237E9AB9" w14:textId="77777777" w:rsidR="00434E91" w:rsidRPr="006774C9" w:rsidRDefault="00434E91" w:rsidP="006774C9">
      <w:pPr>
        <w:pStyle w:val="ListParagraph"/>
        <w:numPr>
          <w:ilvl w:val="0"/>
          <w:numId w:val="17"/>
        </w:numPr>
        <w:jc w:val="both"/>
        <w:rPr>
          <w:rFonts w:ascii="Arial" w:hAnsi="Arial" w:cs="Arial"/>
        </w:rPr>
      </w:pPr>
      <w:r w:rsidRPr="006774C9">
        <w:rPr>
          <w:rFonts w:ascii="Arial" w:hAnsi="Arial" w:cs="Arial"/>
        </w:rPr>
        <w:t>Identify and monitor all regulatory obligations relevant to the organization.</w:t>
      </w:r>
    </w:p>
    <w:p w14:paraId="4B027C34" w14:textId="77777777" w:rsidR="00434E91" w:rsidRPr="006774C9" w:rsidRDefault="00434E91" w:rsidP="006774C9">
      <w:pPr>
        <w:pStyle w:val="ListParagraph"/>
        <w:numPr>
          <w:ilvl w:val="0"/>
          <w:numId w:val="17"/>
        </w:numPr>
        <w:jc w:val="both"/>
        <w:rPr>
          <w:rFonts w:ascii="Arial" w:hAnsi="Arial" w:cs="Arial"/>
        </w:rPr>
      </w:pPr>
      <w:r w:rsidRPr="006774C9">
        <w:rPr>
          <w:rFonts w:ascii="Arial" w:hAnsi="Arial" w:cs="Arial"/>
        </w:rPr>
        <w:t>Translate regulatory requirements into actionable controls, policies, and procedures.</w:t>
      </w:r>
    </w:p>
    <w:p w14:paraId="3963BE4B" w14:textId="77777777" w:rsidR="00434E91" w:rsidRPr="006774C9" w:rsidRDefault="00434E91" w:rsidP="006774C9">
      <w:pPr>
        <w:pStyle w:val="ListParagraph"/>
        <w:numPr>
          <w:ilvl w:val="0"/>
          <w:numId w:val="17"/>
        </w:numPr>
        <w:jc w:val="both"/>
        <w:rPr>
          <w:rFonts w:ascii="Arial" w:hAnsi="Arial" w:cs="Arial"/>
        </w:rPr>
      </w:pPr>
      <w:r w:rsidRPr="006774C9">
        <w:rPr>
          <w:rFonts w:ascii="Arial" w:hAnsi="Arial" w:cs="Arial"/>
        </w:rPr>
        <w:t>Ensure periodic assessments, reporting, and remediation of compliance gaps.</w:t>
      </w:r>
    </w:p>
    <w:p w14:paraId="42881033" w14:textId="77777777" w:rsidR="00434E91" w:rsidRPr="006774C9" w:rsidRDefault="00434E91" w:rsidP="006774C9">
      <w:pPr>
        <w:pStyle w:val="ListParagraph"/>
        <w:numPr>
          <w:ilvl w:val="0"/>
          <w:numId w:val="17"/>
        </w:numPr>
        <w:jc w:val="both"/>
        <w:rPr>
          <w:rFonts w:ascii="Arial" w:hAnsi="Arial" w:cs="Arial"/>
        </w:rPr>
      </w:pPr>
      <w:r w:rsidRPr="006774C9">
        <w:rPr>
          <w:rFonts w:ascii="Arial" w:hAnsi="Arial" w:cs="Arial"/>
        </w:rPr>
        <w:t>Provide evidence of compliance to regulators, auditors, and stakeholders.</w:t>
      </w:r>
    </w:p>
    <w:p w14:paraId="78E23CE8" w14:textId="77777777" w:rsidR="00434E91" w:rsidRPr="006774C9" w:rsidRDefault="00434E91" w:rsidP="006774C9">
      <w:pPr>
        <w:pStyle w:val="ListParagraph"/>
        <w:numPr>
          <w:ilvl w:val="0"/>
          <w:numId w:val="17"/>
        </w:numPr>
        <w:jc w:val="both"/>
        <w:rPr>
          <w:rFonts w:ascii="Arial" w:hAnsi="Arial" w:cs="Arial"/>
        </w:rPr>
      </w:pPr>
      <w:r w:rsidRPr="006774C9">
        <w:rPr>
          <w:rFonts w:ascii="Arial" w:hAnsi="Arial" w:cs="Arial"/>
        </w:rPr>
        <w:t>Foster a culture of compliance through training and accountability.</w:t>
      </w:r>
    </w:p>
    <w:p w14:paraId="1A477BF5" w14:textId="2F7727CD" w:rsidR="00434E91" w:rsidRPr="00434E91" w:rsidRDefault="00434E91" w:rsidP="006774C9">
      <w:pPr>
        <w:jc w:val="both"/>
        <w:rPr>
          <w:rFonts w:ascii="Arial" w:hAnsi="Arial" w:cs="Arial"/>
        </w:rPr>
      </w:pPr>
    </w:p>
    <w:p w14:paraId="436B1A3B" w14:textId="77777777" w:rsidR="00434E91" w:rsidRPr="00434E91" w:rsidRDefault="00434E91" w:rsidP="006774C9">
      <w:pPr>
        <w:pStyle w:val="Heading1"/>
        <w:jc w:val="both"/>
      </w:pPr>
      <w:bookmarkStart w:id="3" w:name="_Toc207031438"/>
      <w:r w:rsidRPr="00434E91">
        <w:t>4. Regulatory Compliance Framework</w:t>
      </w:r>
      <w:bookmarkEnd w:id="3"/>
    </w:p>
    <w:p w14:paraId="7EDA140F" w14:textId="77777777" w:rsidR="00434E91" w:rsidRPr="006774C9" w:rsidRDefault="00434E91" w:rsidP="006774C9">
      <w:pPr>
        <w:pStyle w:val="ListParagraph"/>
        <w:numPr>
          <w:ilvl w:val="0"/>
          <w:numId w:val="19"/>
        </w:numPr>
        <w:jc w:val="both"/>
        <w:rPr>
          <w:rFonts w:ascii="Arial" w:hAnsi="Arial" w:cs="Arial"/>
        </w:rPr>
      </w:pPr>
      <w:r w:rsidRPr="006774C9">
        <w:rPr>
          <w:rFonts w:ascii="Arial" w:hAnsi="Arial" w:cs="Arial"/>
          <w:b/>
          <w:bCs/>
        </w:rPr>
        <w:t>Obligation Identification</w:t>
      </w:r>
      <w:r w:rsidRPr="006774C9">
        <w:rPr>
          <w:rFonts w:ascii="Arial" w:hAnsi="Arial" w:cs="Arial"/>
        </w:rPr>
        <w:t xml:space="preserve"> – Maintain a </w:t>
      </w:r>
      <w:r w:rsidRPr="006774C9">
        <w:rPr>
          <w:rFonts w:ascii="Arial" w:hAnsi="Arial" w:cs="Arial"/>
          <w:b/>
          <w:bCs/>
        </w:rPr>
        <w:t>Regulatory Obligations Register</w:t>
      </w:r>
      <w:r w:rsidRPr="006774C9">
        <w:rPr>
          <w:rFonts w:ascii="Arial" w:hAnsi="Arial" w:cs="Arial"/>
        </w:rPr>
        <w:t xml:space="preserve"> that captures laws, regulations, standards, and contractual requirements (e.g., GDPR, HIPAA, PCI DSS, ISO 27001, NIST, local laws).</w:t>
      </w:r>
    </w:p>
    <w:p w14:paraId="0F40805C" w14:textId="77777777" w:rsidR="00434E91" w:rsidRPr="006774C9" w:rsidRDefault="00434E91" w:rsidP="006774C9">
      <w:pPr>
        <w:pStyle w:val="ListParagraph"/>
        <w:numPr>
          <w:ilvl w:val="0"/>
          <w:numId w:val="19"/>
        </w:numPr>
        <w:jc w:val="both"/>
        <w:rPr>
          <w:rFonts w:ascii="Arial" w:hAnsi="Arial" w:cs="Arial"/>
        </w:rPr>
      </w:pPr>
      <w:r w:rsidRPr="006774C9">
        <w:rPr>
          <w:rFonts w:ascii="Arial" w:hAnsi="Arial" w:cs="Arial"/>
          <w:b/>
          <w:bCs/>
        </w:rPr>
        <w:t>Control Mapping</w:t>
      </w:r>
      <w:r w:rsidRPr="006774C9">
        <w:rPr>
          <w:rFonts w:ascii="Arial" w:hAnsi="Arial" w:cs="Arial"/>
        </w:rPr>
        <w:t xml:space="preserve"> – Align obligations to internal policies, controls, and frameworks (e.g., NIST CSF, ISO 27002).</w:t>
      </w:r>
    </w:p>
    <w:p w14:paraId="3888F51B" w14:textId="77777777" w:rsidR="00434E91" w:rsidRPr="006774C9" w:rsidRDefault="00434E91" w:rsidP="006774C9">
      <w:pPr>
        <w:pStyle w:val="ListParagraph"/>
        <w:numPr>
          <w:ilvl w:val="0"/>
          <w:numId w:val="19"/>
        </w:numPr>
        <w:jc w:val="both"/>
        <w:rPr>
          <w:rFonts w:ascii="Arial" w:hAnsi="Arial" w:cs="Arial"/>
        </w:rPr>
      </w:pPr>
      <w:r w:rsidRPr="006774C9">
        <w:rPr>
          <w:rFonts w:ascii="Arial" w:hAnsi="Arial" w:cs="Arial"/>
          <w:b/>
          <w:bCs/>
        </w:rPr>
        <w:t>Implementation &amp; Evidence</w:t>
      </w:r>
      <w:r w:rsidRPr="006774C9">
        <w:rPr>
          <w:rFonts w:ascii="Arial" w:hAnsi="Arial" w:cs="Arial"/>
        </w:rPr>
        <w:t xml:space="preserve"> – Assign responsibilities, implement controls, and retain supporting evidence.</w:t>
      </w:r>
    </w:p>
    <w:p w14:paraId="792FE2AC" w14:textId="77777777" w:rsidR="00434E91" w:rsidRPr="006774C9" w:rsidRDefault="00434E91" w:rsidP="006774C9">
      <w:pPr>
        <w:pStyle w:val="ListParagraph"/>
        <w:numPr>
          <w:ilvl w:val="0"/>
          <w:numId w:val="19"/>
        </w:numPr>
        <w:jc w:val="both"/>
        <w:rPr>
          <w:rFonts w:ascii="Arial" w:hAnsi="Arial" w:cs="Arial"/>
        </w:rPr>
      </w:pPr>
      <w:r w:rsidRPr="006774C9">
        <w:rPr>
          <w:rFonts w:ascii="Arial" w:hAnsi="Arial" w:cs="Arial"/>
          <w:b/>
          <w:bCs/>
        </w:rPr>
        <w:t>Monitoring &amp; Assurance</w:t>
      </w:r>
      <w:r w:rsidRPr="006774C9">
        <w:rPr>
          <w:rFonts w:ascii="Arial" w:hAnsi="Arial" w:cs="Arial"/>
        </w:rPr>
        <w:t xml:space="preserve"> – Conduct audits, risk assessments, and continuous monitoring.</w:t>
      </w:r>
    </w:p>
    <w:p w14:paraId="3D17E6D5" w14:textId="77777777" w:rsidR="00434E91" w:rsidRPr="006774C9" w:rsidRDefault="00434E91" w:rsidP="006774C9">
      <w:pPr>
        <w:pStyle w:val="ListParagraph"/>
        <w:numPr>
          <w:ilvl w:val="0"/>
          <w:numId w:val="19"/>
        </w:numPr>
        <w:jc w:val="both"/>
        <w:rPr>
          <w:rFonts w:ascii="Arial" w:hAnsi="Arial" w:cs="Arial"/>
        </w:rPr>
      </w:pPr>
      <w:r w:rsidRPr="006774C9">
        <w:rPr>
          <w:rFonts w:ascii="Arial" w:hAnsi="Arial" w:cs="Arial"/>
          <w:b/>
          <w:bCs/>
        </w:rPr>
        <w:t>Reporting &amp; Certification</w:t>
      </w:r>
      <w:r w:rsidRPr="006774C9">
        <w:rPr>
          <w:rFonts w:ascii="Arial" w:hAnsi="Arial" w:cs="Arial"/>
        </w:rPr>
        <w:t xml:space="preserve"> – Provide compliance reports to management, regulators, and external parties.</w:t>
      </w:r>
    </w:p>
    <w:p w14:paraId="5456B1F7" w14:textId="058D4A72" w:rsidR="00434E91" w:rsidRPr="006774C9" w:rsidRDefault="00434E91" w:rsidP="006774C9">
      <w:pPr>
        <w:pStyle w:val="ListParagraph"/>
        <w:numPr>
          <w:ilvl w:val="0"/>
          <w:numId w:val="19"/>
        </w:numPr>
        <w:jc w:val="both"/>
        <w:rPr>
          <w:rFonts w:ascii="Arial" w:hAnsi="Arial" w:cs="Arial"/>
        </w:rPr>
      </w:pPr>
      <w:r w:rsidRPr="006774C9">
        <w:rPr>
          <w:rFonts w:ascii="Arial" w:hAnsi="Arial" w:cs="Arial"/>
          <w:b/>
          <w:bCs/>
        </w:rPr>
        <w:t>Remediation &amp; Improvement</w:t>
      </w:r>
      <w:r w:rsidRPr="006774C9">
        <w:rPr>
          <w:rFonts w:ascii="Arial" w:hAnsi="Arial" w:cs="Arial"/>
        </w:rPr>
        <w:t xml:space="preserve"> – Address findings, track corrective actions, and continuously update controls.</w:t>
      </w:r>
    </w:p>
    <w:p w14:paraId="1CF6398F" w14:textId="77777777" w:rsidR="00434E91" w:rsidRPr="00434E91" w:rsidRDefault="00434E91" w:rsidP="006774C9">
      <w:pPr>
        <w:pStyle w:val="Heading1"/>
        <w:jc w:val="both"/>
      </w:pPr>
      <w:bookmarkStart w:id="4" w:name="_Toc207031439"/>
      <w:r w:rsidRPr="00434E91">
        <w:lastRenderedPageBreak/>
        <w:t>5. Roles and Responsibilities</w:t>
      </w:r>
      <w:bookmarkEnd w:id="4"/>
    </w:p>
    <w:p w14:paraId="2D0ADAD9" w14:textId="77777777" w:rsidR="00434E91" w:rsidRPr="006774C9" w:rsidRDefault="00434E91" w:rsidP="006774C9">
      <w:pPr>
        <w:pStyle w:val="ListParagraph"/>
        <w:numPr>
          <w:ilvl w:val="0"/>
          <w:numId w:val="20"/>
        </w:numPr>
        <w:jc w:val="both"/>
        <w:rPr>
          <w:rFonts w:ascii="Arial" w:hAnsi="Arial" w:cs="Arial"/>
        </w:rPr>
      </w:pPr>
      <w:r w:rsidRPr="006774C9">
        <w:rPr>
          <w:rFonts w:ascii="Arial" w:hAnsi="Arial" w:cs="Arial"/>
          <w:b/>
          <w:bCs/>
        </w:rPr>
        <w:t>Board of Directors / Executive Management</w:t>
      </w:r>
      <w:r w:rsidRPr="006774C9">
        <w:rPr>
          <w:rFonts w:ascii="Arial" w:hAnsi="Arial" w:cs="Arial"/>
        </w:rPr>
        <w:t>: Ensure oversight, approve compliance strategy, allocate resources.</w:t>
      </w:r>
    </w:p>
    <w:p w14:paraId="147A7DA4" w14:textId="77777777" w:rsidR="00434E91" w:rsidRPr="006774C9" w:rsidRDefault="00434E91" w:rsidP="006774C9">
      <w:pPr>
        <w:pStyle w:val="ListParagraph"/>
        <w:numPr>
          <w:ilvl w:val="0"/>
          <w:numId w:val="20"/>
        </w:numPr>
        <w:jc w:val="both"/>
        <w:rPr>
          <w:rFonts w:ascii="Arial" w:hAnsi="Arial" w:cs="Arial"/>
        </w:rPr>
      </w:pPr>
      <w:r w:rsidRPr="006774C9">
        <w:rPr>
          <w:rFonts w:ascii="Arial" w:hAnsi="Arial" w:cs="Arial"/>
          <w:b/>
          <w:bCs/>
        </w:rPr>
        <w:t>Chief Information Security Officer (CISO) / Compliance Manager</w:t>
      </w:r>
      <w:r w:rsidRPr="006774C9">
        <w:rPr>
          <w:rFonts w:ascii="Arial" w:hAnsi="Arial" w:cs="Arial"/>
        </w:rPr>
        <w:t>: Own compliance program, maintain registers, coordinate audits, report compliance status.</w:t>
      </w:r>
    </w:p>
    <w:p w14:paraId="3A32C901" w14:textId="77777777" w:rsidR="00434E91" w:rsidRPr="006774C9" w:rsidRDefault="00434E91" w:rsidP="006774C9">
      <w:pPr>
        <w:pStyle w:val="ListParagraph"/>
        <w:numPr>
          <w:ilvl w:val="0"/>
          <w:numId w:val="20"/>
        </w:numPr>
        <w:jc w:val="both"/>
        <w:rPr>
          <w:rFonts w:ascii="Arial" w:hAnsi="Arial" w:cs="Arial"/>
        </w:rPr>
      </w:pPr>
      <w:r w:rsidRPr="006774C9">
        <w:rPr>
          <w:rFonts w:ascii="Arial" w:hAnsi="Arial" w:cs="Arial"/>
          <w:b/>
          <w:bCs/>
        </w:rPr>
        <w:t>Legal &amp; Regulatory Affairs</w:t>
      </w:r>
      <w:r w:rsidRPr="006774C9">
        <w:rPr>
          <w:rFonts w:ascii="Arial" w:hAnsi="Arial" w:cs="Arial"/>
        </w:rPr>
        <w:t>: Interpret laws/regulations, review contracts, support compliance obligations.</w:t>
      </w:r>
    </w:p>
    <w:p w14:paraId="49560FB1" w14:textId="77777777" w:rsidR="00434E91" w:rsidRPr="006774C9" w:rsidRDefault="00434E91" w:rsidP="006774C9">
      <w:pPr>
        <w:pStyle w:val="ListParagraph"/>
        <w:numPr>
          <w:ilvl w:val="0"/>
          <w:numId w:val="20"/>
        </w:numPr>
        <w:jc w:val="both"/>
        <w:rPr>
          <w:rFonts w:ascii="Arial" w:hAnsi="Arial" w:cs="Arial"/>
        </w:rPr>
      </w:pPr>
      <w:r w:rsidRPr="006774C9">
        <w:rPr>
          <w:rFonts w:ascii="Arial" w:hAnsi="Arial" w:cs="Arial"/>
          <w:b/>
          <w:bCs/>
        </w:rPr>
        <w:t>Risk &amp; Audit Teams</w:t>
      </w:r>
      <w:r w:rsidRPr="006774C9">
        <w:rPr>
          <w:rFonts w:ascii="Arial" w:hAnsi="Arial" w:cs="Arial"/>
        </w:rPr>
        <w:t>: Perform audits, assessments, and independent assurance.</w:t>
      </w:r>
    </w:p>
    <w:p w14:paraId="05A4DB76" w14:textId="77777777" w:rsidR="00434E91" w:rsidRPr="006774C9" w:rsidRDefault="00434E91" w:rsidP="006774C9">
      <w:pPr>
        <w:pStyle w:val="ListParagraph"/>
        <w:numPr>
          <w:ilvl w:val="0"/>
          <w:numId w:val="20"/>
        </w:numPr>
        <w:jc w:val="both"/>
        <w:rPr>
          <w:rFonts w:ascii="Arial" w:hAnsi="Arial" w:cs="Arial"/>
        </w:rPr>
      </w:pPr>
      <w:r w:rsidRPr="006774C9">
        <w:rPr>
          <w:rFonts w:ascii="Arial" w:hAnsi="Arial" w:cs="Arial"/>
          <w:b/>
          <w:bCs/>
        </w:rPr>
        <w:t>Business Unit Heads</w:t>
      </w:r>
      <w:r w:rsidRPr="006774C9">
        <w:rPr>
          <w:rFonts w:ascii="Arial" w:hAnsi="Arial" w:cs="Arial"/>
        </w:rPr>
        <w:t>: Ensure compliance activities are implemented in their domains.</w:t>
      </w:r>
    </w:p>
    <w:p w14:paraId="2083EF66" w14:textId="77777777" w:rsidR="00434E91" w:rsidRPr="006774C9" w:rsidRDefault="00434E91" w:rsidP="006774C9">
      <w:pPr>
        <w:pStyle w:val="ListParagraph"/>
        <w:numPr>
          <w:ilvl w:val="0"/>
          <w:numId w:val="20"/>
        </w:numPr>
        <w:jc w:val="both"/>
        <w:rPr>
          <w:rFonts w:ascii="Arial" w:hAnsi="Arial" w:cs="Arial"/>
        </w:rPr>
      </w:pPr>
      <w:r w:rsidRPr="006774C9">
        <w:rPr>
          <w:rFonts w:ascii="Arial" w:hAnsi="Arial" w:cs="Arial"/>
          <w:b/>
          <w:bCs/>
        </w:rPr>
        <w:t>All Employees</w:t>
      </w:r>
      <w:r w:rsidRPr="006774C9">
        <w:rPr>
          <w:rFonts w:ascii="Arial" w:hAnsi="Arial" w:cs="Arial"/>
        </w:rPr>
        <w:t>: Follow compliance policies, participate in training, report potential non-compliance.</w:t>
      </w:r>
    </w:p>
    <w:p w14:paraId="0083D202" w14:textId="77777777" w:rsidR="00434E91" w:rsidRPr="006774C9" w:rsidRDefault="00434E91" w:rsidP="006774C9">
      <w:pPr>
        <w:pStyle w:val="ListParagraph"/>
        <w:numPr>
          <w:ilvl w:val="0"/>
          <w:numId w:val="20"/>
        </w:numPr>
        <w:jc w:val="both"/>
        <w:rPr>
          <w:rFonts w:ascii="Arial" w:hAnsi="Arial" w:cs="Arial"/>
        </w:rPr>
      </w:pPr>
      <w:r w:rsidRPr="006774C9">
        <w:rPr>
          <w:rFonts w:ascii="Arial" w:hAnsi="Arial" w:cs="Arial"/>
          <w:b/>
          <w:bCs/>
        </w:rPr>
        <w:t>Third Parties &amp; Vendors</w:t>
      </w:r>
      <w:r w:rsidRPr="006774C9">
        <w:rPr>
          <w:rFonts w:ascii="Arial" w:hAnsi="Arial" w:cs="Arial"/>
        </w:rPr>
        <w:t>: Comply with contractual and regulatory requirements; provide attestations/certifications.</w:t>
      </w:r>
    </w:p>
    <w:p w14:paraId="5C1C41CF" w14:textId="004F2209" w:rsidR="00434E91" w:rsidRPr="00434E91" w:rsidRDefault="00434E91" w:rsidP="006774C9">
      <w:pPr>
        <w:jc w:val="both"/>
        <w:rPr>
          <w:rFonts w:ascii="Arial" w:hAnsi="Arial" w:cs="Arial"/>
        </w:rPr>
      </w:pPr>
    </w:p>
    <w:p w14:paraId="43158D0C" w14:textId="77777777" w:rsidR="00434E91" w:rsidRPr="00434E91" w:rsidRDefault="00434E91" w:rsidP="006774C9">
      <w:pPr>
        <w:pStyle w:val="Heading1"/>
        <w:jc w:val="both"/>
      </w:pPr>
      <w:bookmarkStart w:id="5" w:name="_Toc207031440"/>
      <w:r w:rsidRPr="00434E91">
        <w:t>6. Compliance Processes</w:t>
      </w:r>
      <w:bookmarkEnd w:id="5"/>
    </w:p>
    <w:p w14:paraId="2CD0EB6A" w14:textId="77777777" w:rsidR="00434E91" w:rsidRPr="00434E91" w:rsidRDefault="00434E91" w:rsidP="006774C9">
      <w:pPr>
        <w:pStyle w:val="Heading2"/>
        <w:jc w:val="both"/>
      </w:pPr>
      <w:bookmarkStart w:id="6" w:name="_Toc207031441"/>
      <w:r w:rsidRPr="00434E91">
        <w:t>6.1 Regulatory Obligations Register</w:t>
      </w:r>
      <w:bookmarkEnd w:id="6"/>
    </w:p>
    <w:p w14:paraId="65E4041E" w14:textId="77777777" w:rsidR="00434E91" w:rsidRPr="00434E91" w:rsidRDefault="00434E91" w:rsidP="006774C9">
      <w:pPr>
        <w:jc w:val="both"/>
        <w:rPr>
          <w:rFonts w:ascii="Arial" w:hAnsi="Arial" w:cs="Arial"/>
        </w:rPr>
      </w:pPr>
      <w:r w:rsidRPr="00434E91">
        <w:rPr>
          <w:rFonts w:ascii="Arial" w:hAnsi="Arial" w:cs="Arial"/>
        </w:rPr>
        <w:t>Maintain a register with the following fields:</w:t>
      </w:r>
    </w:p>
    <w:p w14:paraId="777EDF18" w14:textId="77777777" w:rsidR="00434E91" w:rsidRPr="006774C9" w:rsidRDefault="00434E91" w:rsidP="006774C9">
      <w:pPr>
        <w:pStyle w:val="ListParagraph"/>
        <w:numPr>
          <w:ilvl w:val="0"/>
          <w:numId w:val="24"/>
        </w:numPr>
        <w:jc w:val="both"/>
        <w:rPr>
          <w:rFonts w:ascii="Arial" w:hAnsi="Arial" w:cs="Arial"/>
        </w:rPr>
      </w:pPr>
      <w:r w:rsidRPr="006774C9">
        <w:rPr>
          <w:rFonts w:ascii="Arial" w:hAnsi="Arial" w:cs="Arial"/>
        </w:rPr>
        <w:t>Obligation ID</w:t>
      </w:r>
    </w:p>
    <w:p w14:paraId="594180A5" w14:textId="77777777" w:rsidR="00434E91" w:rsidRPr="006774C9" w:rsidRDefault="00434E91" w:rsidP="006774C9">
      <w:pPr>
        <w:pStyle w:val="ListParagraph"/>
        <w:numPr>
          <w:ilvl w:val="0"/>
          <w:numId w:val="24"/>
        </w:numPr>
        <w:jc w:val="both"/>
        <w:rPr>
          <w:rFonts w:ascii="Arial" w:hAnsi="Arial" w:cs="Arial"/>
        </w:rPr>
      </w:pPr>
      <w:r w:rsidRPr="006774C9">
        <w:rPr>
          <w:rFonts w:ascii="Arial" w:hAnsi="Arial" w:cs="Arial"/>
        </w:rPr>
        <w:t>Regulation / Standard / Contractual Clause</w:t>
      </w:r>
    </w:p>
    <w:p w14:paraId="40F12D8E" w14:textId="77777777" w:rsidR="00434E91" w:rsidRPr="006774C9" w:rsidRDefault="00434E91" w:rsidP="006774C9">
      <w:pPr>
        <w:pStyle w:val="ListParagraph"/>
        <w:numPr>
          <w:ilvl w:val="0"/>
          <w:numId w:val="24"/>
        </w:numPr>
        <w:jc w:val="both"/>
        <w:rPr>
          <w:rFonts w:ascii="Arial" w:hAnsi="Arial" w:cs="Arial"/>
        </w:rPr>
      </w:pPr>
      <w:r w:rsidRPr="006774C9">
        <w:rPr>
          <w:rFonts w:ascii="Arial" w:hAnsi="Arial" w:cs="Arial"/>
        </w:rPr>
        <w:t>Applicability (Business Unit / System)</w:t>
      </w:r>
    </w:p>
    <w:p w14:paraId="7F6D84D6" w14:textId="77777777" w:rsidR="00434E91" w:rsidRPr="006774C9" w:rsidRDefault="00434E91" w:rsidP="006774C9">
      <w:pPr>
        <w:pStyle w:val="ListParagraph"/>
        <w:numPr>
          <w:ilvl w:val="0"/>
          <w:numId w:val="24"/>
        </w:numPr>
        <w:jc w:val="both"/>
        <w:rPr>
          <w:rFonts w:ascii="Arial" w:hAnsi="Arial" w:cs="Arial"/>
        </w:rPr>
      </w:pPr>
      <w:r w:rsidRPr="006774C9">
        <w:rPr>
          <w:rFonts w:ascii="Arial" w:hAnsi="Arial" w:cs="Arial"/>
        </w:rPr>
        <w:t>Control Mapping</w:t>
      </w:r>
    </w:p>
    <w:p w14:paraId="278E074C" w14:textId="77777777" w:rsidR="00434E91" w:rsidRPr="006774C9" w:rsidRDefault="00434E91" w:rsidP="006774C9">
      <w:pPr>
        <w:pStyle w:val="ListParagraph"/>
        <w:numPr>
          <w:ilvl w:val="0"/>
          <w:numId w:val="24"/>
        </w:numPr>
        <w:jc w:val="both"/>
        <w:rPr>
          <w:rFonts w:ascii="Arial" w:hAnsi="Arial" w:cs="Arial"/>
        </w:rPr>
      </w:pPr>
      <w:r w:rsidRPr="006774C9">
        <w:rPr>
          <w:rFonts w:ascii="Arial" w:hAnsi="Arial" w:cs="Arial"/>
        </w:rPr>
        <w:t>Responsible Owner</w:t>
      </w:r>
    </w:p>
    <w:p w14:paraId="0EBAA456" w14:textId="77777777" w:rsidR="00434E91" w:rsidRPr="006774C9" w:rsidRDefault="00434E91" w:rsidP="006774C9">
      <w:pPr>
        <w:pStyle w:val="ListParagraph"/>
        <w:numPr>
          <w:ilvl w:val="0"/>
          <w:numId w:val="24"/>
        </w:numPr>
        <w:jc w:val="both"/>
        <w:rPr>
          <w:rFonts w:ascii="Arial" w:hAnsi="Arial" w:cs="Arial"/>
        </w:rPr>
      </w:pPr>
      <w:r w:rsidRPr="006774C9">
        <w:rPr>
          <w:rFonts w:ascii="Arial" w:hAnsi="Arial" w:cs="Arial"/>
        </w:rPr>
        <w:t>Review Frequency</w:t>
      </w:r>
    </w:p>
    <w:p w14:paraId="293F33C9" w14:textId="77777777" w:rsidR="00434E91" w:rsidRPr="006774C9" w:rsidRDefault="00434E91" w:rsidP="006774C9">
      <w:pPr>
        <w:pStyle w:val="ListParagraph"/>
        <w:numPr>
          <w:ilvl w:val="0"/>
          <w:numId w:val="24"/>
        </w:numPr>
        <w:jc w:val="both"/>
        <w:rPr>
          <w:rFonts w:ascii="Arial" w:hAnsi="Arial" w:cs="Arial"/>
        </w:rPr>
      </w:pPr>
      <w:r w:rsidRPr="006774C9">
        <w:rPr>
          <w:rFonts w:ascii="Arial" w:hAnsi="Arial" w:cs="Arial"/>
        </w:rPr>
        <w:t>Status</w:t>
      </w:r>
    </w:p>
    <w:p w14:paraId="78B276DD" w14:textId="77777777" w:rsidR="00434E91" w:rsidRPr="00434E91" w:rsidRDefault="00434E91" w:rsidP="006774C9">
      <w:pPr>
        <w:pStyle w:val="Heading2"/>
        <w:jc w:val="both"/>
      </w:pPr>
      <w:bookmarkStart w:id="7" w:name="_Toc207031442"/>
      <w:r w:rsidRPr="00434E91">
        <w:t>6.2 Statement of Applicability (</w:t>
      </w:r>
      <w:proofErr w:type="spellStart"/>
      <w:r w:rsidRPr="00434E91">
        <w:t>SoA</w:t>
      </w:r>
      <w:proofErr w:type="spellEnd"/>
      <w:r w:rsidRPr="00434E91">
        <w:t>)</w:t>
      </w:r>
      <w:bookmarkEnd w:id="7"/>
    </w:p>
    <w:p w14:paraId="7186FC1C" w14:textId="77777777" w:rsidR="00434E91" w:rsidRPr="00434E91" w:rsidRDefault="00434E91" w:rsidP="006774C9">
      <w:pPr>
        <w:jc w:val="both"/>
        <w:rPr>
          <w:rFonts w:ascii="Arial" w:hAnsi="Arial" w:cs="Arial"/>
        </w:rPr>
      </w:pPr>
      <w:r w:rsidRPr="00434E91">
        <w:rPr>
          <w:rFonts w:ascii="Arial" w:hAnsi="Arial" w:cs="Arial"/>
        </w:rPr>
        <w:t>Document each control (Applicable / Not Applicable) with justification, aligned to frameworks such as ISO 27001 Annex A.</w:t>
      </w:r>
    </w:p>
    <w:p w14:paraId="6282B9E0" w14:textId="77777777" w:rsidR="00434E91" w:rsidRPr="00434E91" w:rsidRDefault="00434E91" w:rsidP="006774C9">
      <w:pPr>
        <w:pStyle w:val="Heading2"/>
        <w:jc w:val="both"/>
      </w:pPr>
      <w:bookmarkStart w:id="8" w:name="_Toc207031443"/>
      <w:r w:rsidRPr="00434E91">
        <w:t>6.3 Compliance Calendar</w:t>
      </w:r>
      <w:bookmarkEnd w:id="8"/>
    </w:p>
    <w:p w14:paraId="4C21C262" w14:textId="45C498AB" w:rsidR="00434E91" w:rsidRPr="00434E91" w:rsidRDefault="00434E91" w:rsidP="006774C9">
      <w:pPr>
        <w:jc w:val="both"/>
        <w:rPr>
          <w:rFonts w:ascii="Arial" w:hAnsi="Arial" w:cs="Arial"/>
        </w:rPr>
      </w:pPr>
      <w:r w:rsidRPr="00434E91">
        <w:rPr>
          <w:rFonts w:ascii="Arial" w:hAnsi="Arial" w:cs="Arial"/>
        </w:rPr>
        <w:t xml:space="preserve">Define a compliance calendar </w:t>
      </w:r>
      <w:r w:rsidR="006774C9">
        <w:rPr>
          <w:rFonts w:ascii="Arial" w:hAnsi="Arial" w:cs="Arial"/>
        </w:rPr>
        <w:t>that includes recurring activities such as</w:t>
      </w:r>
      <w:r w:rsidRPr="00434E91">
        <w:rPr>
          <w:rFonts w:ascii="Arial" w:hAnsi="Arial" w:cs="Arial"/>
        </w:rPr>
        <w:t xml:space="preserve"> audits, assessments, certifications, awareness campaigns, and regulatory reporting deadlines.</w:t>
      </w:r>
    </w:p>
    <w:p w14:paraId="462AF4AE" w14:textId="77777777" w:rsidR="00434E91" w:rsidRPr="00434E91" w:rsidRDefault="00434E91" w:rsidP="006774C9">
      <w:pPr>
        <w:pStyle w:val="Heading2"/>
        <w:jc w:val="both"/>
      </w:pPr>
      <w:bookmarkStart w:id="9" w:name="_Toc207031444"/>
      <w:r w:rsidRPr="00434E91">
        <w:t>6.4 Monitoring &amp; Auditing</w:t>
      </w:r>
      <w:bookmarkEnd w:id="9"/>
    </w:p>
    <w:p w14:paraId="78F99132" w14:textId="77777777" w:rsidR="00434E91" w:rsidRPr="006774C9" w:rsidRDefault="00434E91" w:rsidP="006774C9">
      <w:pPr>
        <w:pStyle w:val="ListParagraph"/>
        <w:numPr>
          <w:ilvl w:val="0"/>
          <w:numId w:val="21"/>
        </w:numPr>
        <w:jc w:val="both"/>
        <w:rPr>
          <w:rFonts w:ascii="Arial" w:hAnsi="Arial" w:cs="Arial"/>
        </w:rPr>
      </w:pPr>
      <w:r w:rsidRPr="006774C9">
        <w:rPr>
          <w:rFonts w:ascii="Arial" w:hAnsi="Arial" w:cs="Arial"/>
        </w:rPr>
        <w:t>Conduct internal audits at least annually.</w:t>
      </w:r>
    </w:p>
    <w:p w14:paraId="19443123" w14:textId="77777777" w:rsidR="00434E91" w:rsidRPr="006774C9" w:rsidRDefault="00434E91" w:rsidP="006774C9">
      <w:pPr>
        <w:pStyle w:val="ListParagraph"/>
        <w:numPr>
          <w:ilvl w:val="0"/>
          <w:numId w:val="21"/>
        </w:numPr>
        <w:jc w:val="both"/>
        <w:rPr>
          <w:rFonts w:ascii="Arial" w:hAnsi="Arial" w:cs="Arial"/>
        </w:rPr>
      </w:pPr>
      <w:r w:rsidRPr="006774C9">
        <w:rPr>
          <w:rFonts w:ascii="Arial" w:hAnsi="Arial" w:cs="Arial"/>
        </w:rPr>
        <w:lastRenderedPageBreak/>
        <w:t>Perform control effectiveness testing.</w:t>
      </w:r>
    </w:p>
    <w:p w14:paraId="681DDCDC" w14:textId="77777777" w:rsidR="00434E91" w:rsidRPr="006774C9" w:rsidRDefault="00434E91" w:rsidP="006774C9">
      <w:pPr>
        <w:pStyle w:val="ListParagraph"/>
        <w:numPr>
          <w:ilvl w:val="0"/>
          <w:numId w:val="21"/>
        </w:numPr>
        <w:jc w:val="both"/>
        <w:rPr>
          <w:rFonts w:ascii="Arial" w:hAnsi="Arial" w:cs="Arial"/>
        </w:rPr>
      </w:pPr>
      <w:r w:rsidRPr="006774C9">
        <w:rPr>
          <w:rFonts w:ascii="Arial" w:hAnsi="Arial" w:cs="Arial"/>
        </w:rPr>
        <w:t>Maintain audit logs and compliance dashboards.</w:t>
      </w:r>
    </w:p>
    <w:p w14:paraId="5CAED942" w14:textId="77777777" w:rsidR="00434E91" w:rsidRPr="00434E91" w:rsidRDefault="00434E91" w:rsidP="006774C9">
      <w:pPr>
        <w:pStyle w:val="Heading2"/>
        <w:jc w:val="both"/>
      </w:pPr>
      <w:bookmarkStart w:id="10" w:name="_Toc207031445"/>
      <w:r w:rsidRPr="00434E91">
        <w:t>6.5 Reporting</w:t>
      </w:r>
      <w:bookmarkEnd w:id="10"/>
    </w:p>
    <w:p w14:paraId="3AD1A40D" w14:textId="77777777" w:rsidR="00434E91" w:rsidRPr="006774C9" w:rsidRDefault="00434E91" w:rsidP="006774C9">
      <w:pPr>
        <w:pStyle w:val="ListParagraph"/>
        <w:numPr>
          <w:ilvl w:val="0"/>
          <w:numId w:val="22"/>
        </w:numPr>
        <w:jc w:val="both"/>
        <w:rPr>
          <w:rFonts w:ascii="Arial" w:hAnsi="Arial" w:cs="Arial"/>
        </w:rPr>
      </w:pPr>
      <w:r w:rsidRPr="006774C9">
        <w:rPr>
          <w:rFonts w:ascii="Arial" w:hAnsi="Arial" w:cs="Arial"/>
        </w:rPr>
        <w:t>Quarterly compliance reports to senior management.</w:t>
      </w:r>
    </w:p>
    <w:p w14:paraId="178F4FDB" w14:textId="77777777" w:rsidR="00434E91" w:rsidRPr="006774C9" w:rsidRDefault="00434E91" w:rsidP="006774C9">
      <w:pPr>
        <w:pStyle w:val="ListParagraph"/>
        <w:numPr>
          <w:ilvl w:val="0"/>
          <w:numId w:val="22"/>
        </w:numPr>
        <w:jc w:val="both"/>
        <w:rPr>
          <w:rFonts w:ascii="Arial" w:hAnsi="Arial" w:cs="Arial"/>
        </w:rPr>
      </w:pPr>
      <w:r w:rsidRPr="006774C9">
        <w:rPr>
          <w:rFonts w:ascii="Arial" w:hAnsi="Arial" w:cs="Arial"/>
        </w:rPr>
        <w:t>Annual attestation to regulators or certification bodies.</w:t>
      </w:r>
    </w:p>
    <w:p w14:paraId="7BCB7051" w14:textId="5678C7C4" w:rsidR="00434E91" w:rsidRPr="006774C9" w:rsidRDefault="00434E91" w:rsidP="006774C9">
      <w:pPr>
        <w:pStyle w:val="ListParagraph"/>
        <w:numPr>
          <w:ilvl w:val="0"/>
          <w:numId w:val="22"/>
        </w:numPr>
        <w:jc w:val="both"/>
        <w:rPr>
          <w:rFonts w:ascii="Arial" w:hAnsi="Arial" w:cs="Arial"/>
        </w:rPr>
      </w:pPr>
      <w:r w:rsidRPr="006774C9">
        <w:rPr>
          <w:rFonts w:ascii="Arial" w:hAnsi="Arial" w:cs="Arial"/>
        </w:rPr>
        <w:t>Immediate escalation of material non-compliance issues.</w:t>
      </w:r>
    </w:p>
    <w:p w14:paraId="46A0C158" w14:textId="77777777" w:rsidR="00434E91" w:rsidRPr="00434E91" w:rsidRDefault="00434E91" w:rsidP="006774C9">
      <w:pPr>
        <w:pStyle w:val="Heading1"/>
        <w:jc w:val="both"/>
      </w:pPr>
      <w:bookmarkStart w:id="11" w:name="_Toc207031446"/>
      <w:r w:rsidRPr="00434E91">
        <w:t>7. Third-Party &amp; Cloud Compliance</w:t>
      </w:r>
      <w:bookmarkEnd w:id="11"/>
    </w:p>
    <w:p w14:paraId="202638CB" w14:textId="77777777" w:rsidR="00434E91" w:rsidRPr="006774C9" w:rsidRDefault="00434E91" w:rsidP="006774C9">
      <w:pPr>
        <w:pStyle w:val="ListParagraph"/>
        <w:numPr>
          <w:ilvl w:val="0"/>
          <w:numId w:val="23"/>
        </w:numPr>
        <w:jc w:val="both"/>
        <w:rPr>
          <w:rFonts w:ascii="Arial" w:hAnsi="Arial" w:cs="Arial"/>
        </w:rPr>
      </w:pPr>
      <w:r w:rsidRPr="006774C9">
        <w:rPr>
          <w:rFonts w:ascii="Arial" w:hAnsi="Arial" w:cs="Arial"/>
        </w:rPr>
        <w:t>Vendors must provide compliance certifications (e.g., SOC 2, ISO 27001).</w:t>
      </w:r>
    </w:p>
    <w:p w14:paraId="755D85D4" w14:textId="77777777" w:rsidR="00434E91" w:rsidRPr="006774C9" w:rsidRDefault="00434E91" w:rsidP="006774C9">
      <w:pPr>
        <w:pStyle w:val="ListParagraph"/>
        <w:numPr>
          <w:ilvl w:val="0"/>
          <w:numId w:val="23"/>
        </w:numPr>
        <w:jc w:val="both"/>
        <w:rPr>
          <w:rFonts w:ascii="Arial" w:hAnsi="Arial" w:cs="Arial"/>
        </w:rPr>
      </w:pPr>
      <w:r w:rsidRPr="006774C9">
        <w:rPr>
          <w:rFonts w:ascii="Arial" w:hAnsi="Arial" w:cs="Arial"/>
        </w:rPr>
        <w:t>High-risk third parties must undergo cybersecurity due diligence.</w:t>
      </w:r>
    </w:p>
    <w:p w14:paraId="0D65E663" w14:textId="339B8E92" w:rsidR="00434E91" w:rsidRPr="00F35322" w:rsidRDefault="00434E91" w:rsidP="006774C9">
      <w:pPr>
        <w:pStyle w:val="ListParagraph"/>
        <w:numPr>
          <w:ilvl w:val="0"/>
          <w:numId w:val="23"/>
        </w:numPr>
        <w:jc w:val="both"/>
        <w:rPr>
          <w:rFonts w:ascii="Arial" w:hAnsi="Arial" w:cs="Arial"/>
        </w:rPr>
      </w:pPr>
      <w:r w:rsidRPr="006774C9">
        <w:rPr>
          <w:rFonts w:ascii="Arial" w:hAnsi="Arial" w:cs="Arial"/>
        </w:rPr>
        <w:t>Cloud providers must meet contractual regulatory obligations, with shared responsibility models clearly defined.</w:t>
      </w:r>
    </w:p>
    <w:p w14:paraId="19440F20" w14:textId="77777777" w:rsidR="00434E91" w:rsidRPr="00434E91" w:rsidRDefault="00434E91" w:rsidP="006774C9">
      <w:pPr>
        <w:pStyle w:val="Heading1"/>
        <w:jc w:val="both"/>
      </w:pPr>
      <w:bookmarkStart w:id="12" w:name="_Toc207031447"/>
      <w:r w:rsidRPr="00434E91">
        <w:t>8. Training and Awareness</w:t>
      </w:r>
      <w:bookmarkEnd w:id="12"/>
    </w:p>
    <w:p w14:paraId="63050A13" w14:textId="77777777" w:rsidR="00434E91" w:rsidRPr="006774C9" w:rsidRDefault="00434E91" w:rsidP="006774C9">
      <w:pPr>
        <w:pStyle w:val="ListParagraph"/>
        <w:numPr>
          <w:ilvl w:val="0"/>
          <w:numId w:val="25"/>
        </w:numPr>
        <w:jc w:val="both"/>
        <w:rPr>
          <w:rFonts w:ascii="Arial" w:hAnsi="Arial" w:cs="Arial"/>
        </w:rPr>
      </w:pPr>
      <w:r w:rsidRPr="006774C9">
        <w:rPr>
          <w:rFonts w:ascii="Arial" w:hAnsi="Arial" w:cs="Arial"/>
        </w:rPr>
        <w:t>Mandatory compliance training for all employees annually.</w:t>
      </w:r>
    </w:p>
    <w:p w14:paraId="536077BB" w14:textId="77777777" w:rsidR="00434E91" w:rsidRPr="006774C9" w:rsidRDefault="00434E91" w:rsidP="006774C9">
      <w:pPr>
        <w:pStyle w:val="ListParagraph"/>
        <w:numPr>
          <w:ilvl w:val="0"/>
          <w:numId w:val="25"/>
        </w:numPr>
        <w:jc w:val="both"/>
        <w:rPr>
          <w:rFonts w:ascii="Arial" w:hAnsi="Arial" w:cs="Arial"/>
        </w:rPr>
      </w:pPr>
      <w:r w:rsidRPr="006774C9">
        <w:rPr>
          <w:rFonts w:ascii="Arial" w:hAnsi="Arial" w:cs="Arial"/>
        </w:rPr>
        <w:t>Targeted training for roles with regulatory responsibility (e.g., HR, Legal, IT).</w:t>
      </w:r>
    </w:p>
    <w:p w14:paraId="053C86FF" w14:textId="711C71BD" w:rsidR="00434E91" w:rsidRPr="00F35322" w:rsidRDefault="00434E91" w:rsidP="006774C9">
      <w:pPr>
        <w:pStyle w:val="ListParagraph"/>
        <w:numPr>
          <w:ilvl w:val="0"/>
          <w:numId w:val="25"/>
        </w:numPr>
        <w:jc w:val="both"/>
        <w:rPr>
          <w:rFonts w:ascii="Arial" w:hAnsi="Arial" w:cs="Arial"/>
        </w:rPr>
      </w:pPr>
      <w:r w:rsidRPr="006774C9">
        <w:rPr>
          <w:rFonts w:ascii="Arial" w:hAnsi="Arial" w:cs="Arial"/>
        </w:rPr>
        <w:t>Awareness campaigns to reinforce compliance culture.</w:t>
      </w:r>
    </w:p>
    <w:p w14:paraId="7E13A200" w14:textId="77777777" w:rsidR="00434E91" w:rsidRPr="00434E91" w:rsidRDefault="00434E91" w:rsidP="006774C9">
      <w:pPr>
        <w:pStyle w:val="Heading1"/>
        <w:jc w:val="both"/>
      </w:pPr>
      <w:bookmarkStart w:id="13" w:name="_Toc207031448"/>
      <w:r w:rsidRPr="00434E91">
        <w:t>9. Exception Management</w:t>
      </w:r>
      <w:bookmarkEnd w:id="13"/>
    </w:p>
    <w:p w14:paraId="523AD123" w14:textId="77777777" w:rsidR="00434E91" w:rsidRPr="006774C9" w:rsidRDefault="00434E91" w:rsidP="006774C9">
      <w:pPr>
        <w:pStyle w:val="ListParagraph"/>
        <w:numPr>
          <w:ilvl w:val="0"/>
          <w:numId w:val="26"/>
        </w:numPr>
        <w:jc w:val="both"/>
        <w:rPr>
          <w:rFonts w:ascii="Arial" w:hAnsi="Arial" w:cs="Arial"/>
        </w:rPr>
      </w:pPr>
      <w:r w:rsidRPr="006774C9">
        <w:rPr>
          <w:rFonts w:ascii="Arial" w:hAnsi="Arial" w:cs="Arial"/>
        </w:rPr>
        <w:t>Exceptions must be documented, risk-assessed, and approved by the Compliance Manager.</w:t>
      </w:r>
    </w:p>
    <w:p w14:paraId="0AABF6AD" w14:textId="2F03B06B" w:rsidR="00434E91" w:rsidRPr="00F35322" w:rsidRDefault="00434E91" w:rsidP="006774C9">
      <w:pPr>
        <w:pStyle w:val="ListParagraph"/>
        <w:numPr>
          <w:ilvl w:val="0"/>
          <w:numId w:val="26"/>
        </w:numPr>
        <w:jc w:val="both"/>
        <w:rPr>
          <w:rFonts w:ascii="Arial" w:hAnsi="Arial" w:cs="Arial"/>
        </w:rPr>
      </w:pPr>
      <w:r w:rsidRPr="006774C9">
        <w:rPr>
          <w:rFonts w:ascii="Arial" w:hAnsi="Arial" w:cs="Arial"/>
        </w:rPr>
        <w:t xml:space="preserve">Exceptions must have </w:t>
      </w:r>
      <w:proofErr w:type="gramStart"/>
      <w:r w:rsidRPr="006774C9">
        <w:rPr>
          <w:rFonts w:ascii="Arial" w:hAnsi="Arial" w:cs="Arial"/>
        </w:rPr>
        <w:t>compensating</w:t>
      </w:r>
      <w:proofErr w:type="gramEnd"/>
      <w:r w:rsidRPr="006774C9">
        <w:rPr>
          <w:rFonts w:ascii="Arial" w:hAnsi="Arial" w:cs="Arial"/>
        </w:rPr>
        <w:t xml:space="preserve"> controls and expiry dates.</w:t>
      </w:r>
    </w:p>
    <w:p w14:paraId="022309DE" w14:textId="77777777" w:rsidR="00434E91" w:rsidRPr="00434E91" w:rsidRDefault="00434E91" w:rsidP="006774C9">
      <w:pPr>
        <w:pStyle w:val="Heading1"/>
        <w:jc w:val="both"/>
      </w:pPr>
      <w:bookmarkStart w:id="14" w:name="_Toc207031449"/>
      <w:r w:rsidRPr="00434E91">
        <w:t>10. Metrics and Key Performance Indicators (KPIs)</w:t>
      </w:r>
      <w:bookmarkEnd w:id="14"/>
    </w:p>
    <w:p w14:paraId="153E33E9" w14:textId="77777777" w:rsidR="00434E91" w:rsidRPr="006774C9" w:rsidRDefault="00434E91" w:rsidP="006774C9">
      <w:pPr>
        <w:pStyle w:val="ListParagraph"/>
        <w:numPr>
          <w:ilvl w:val="0"/>
          <w:numId w:val="27"/>
        </w:numPr>
        <w:jc w:val="both"/>
        <w:rPr>
          <w:rFonts w:ascii="Arial" w:hAnsi="Arial" w:cs="Arial"/>
        </w:rPr>
      </w:pPr>
      <w:r w:rsidRPr="006774C9">
        <w:rPr>
          <w:rFonts w:ascii="Arial" w:hAnsi="Arial" w:cs="Arial"/>
        </w:rPr>
        <w:t>% of obligations mapped to controls.</w:t>
      </w:r>
    </w:p>
    <w:p w14:paraId="0E5A3636" w14:textId="77777777" w:rsidR="00434E91" w:rsidRPr="006774C9" w:rsidRDefault="00434E91" w:rsidP="006774C9">
      <w:pPr>
        <w:pStyle w:val="ListParagraph"/>
        <w:numPr>
          <w:ilvl w:val="0"/>
          <w:numId w:val="27"/>
        </w:numPr>
        <w:jc w:val="both"/>
        <w:rPr>
          <w:rFonts w:ascii="Arial" w:hAnsi="Arial" w:cs="Arial"/>
        </w:rPr>
      </w:pPr>
      <w:r w:rsidRPr="006774C9">
        <w:rPr>
          <w:rFonts w:ascii="Arial" w:hAnsi="Arial" w:cs="Arial"/>
        </w:rPr>
        <w:t>% of controls with evidence of effectiveness.</w:t>
      </w:r>
    </w:p>
    <w:p w14:paraId="35DE6174" w14:textId="77777777" w:rsidR="00434E91" w:rsidRPr="006774C9" w:rsidRDefault="00434E91" w:rsidP="006774C9">
      <w:pPr>
        <w:pStyle w:val="ListParagraph"/>
        <w:numPr>
          <w:ilvl w:val="0"/>
          <w:numId w:val="27"/>
        </w:numPr>
        <w:jc w:val="both"/>
        <w:rPr>
          <w:rFonts w:ascii="Arial" w:hAnsi="Arial" w:cs="Arial"/>
        </w:rPr>
      </w:pPr>
      <w:r w:rsidRPr="006774C9">
        <w:rPr>
          <w:rFonts w:ascii="Arial" w:hAnsi="Arial" w:cs="Arial"/>
        </w:rPr>
        <w:t>Number of compliance findings (open/closed).</w:t>
      </w:r>
    </w:p>
    <w:p w14:paraId="2F4D5C95" w14:textId="77777777" w:rsidR="00434E91" w:rsidRPr="006774C9" w:rsidRDefault="00434E91" w:rsidP="006774C9">
      <w:pPr>
        <w:pStyle w:val="ListParagraph"/>
        <w:numPr>
          <w:ilvl w:val="0"/>
          <w:numId w:val="27"/>
        </w:numPr>
        <w:jc w:val="both"/>
        <w:rPr>
          <w:rFonts w:ascii="Arial" w:hAnsi="Arial" w:cs="Arial"/>
        </w:rPr>
      </w:pPr>
      <w:r w:rsidRPr="006774C9">
        <w:rPr>
          <w:rFonts w:ascii="Arial" w:hAnsi="Arial" w:cs="Arial"/>
        </w:rPr>
        <w:t>Time to remediate compliance gaps.</w:t>
      </w:r>
    </w:p>
    <w:p w14:paraId="14001464" w14:textId="47DCAD8E" w:rsidR="00434E91" w:rsidRPr="00F35322" w:rsidRDefault="00434E91" w:rsidP="006774C9">
      <w:pPr>
        <w:pStyle w:val="ListParagraph"/>
        <w:numPr>
          <w:ilvl w:val="0"/>
          <w:numId w:val="27"/>
        </w:numPr>
        <w:jc w:val="both"/>
        <w:rPr>
          <w:rFonts w:ascii="Arial" w:hAnsi="Arial" w:cs="Arial"/>
        </w:rPr>
      </w:pPr>
      <w:r w:rsidRPr="006774C9">
        <w:rPr>
          <w:rFonts w:ascii="Arial" w:hAnsi="Arial" w:cs="Arial"/>
        </w:rPr>
        <w:t>Vendor compliance certification coverage.</w:t>
      </w:r>
    </w:p>
    <w:p w14:paraId="621AF3A7" w14:textId="77777777" w:rsidR="00434E91" w:rsidRPr="00434E91" w:rsidRDefault="00434E91" w:rsidP="006774C9">
      <w:pPr>
        <w:pStyle w:val="Heading1"/>
        <w:jc w:val="both"/>
      </w:pPr>
      <w:bookmarkStart w:id="15" w:name="_Toc207031450"/>
      <w:r w:rsidRPr="00434E91">
        <w:t>11. Review and Continuous Improvement</w:t>
      </w:r>
      <w:bookmarkEnd w:id="15"/>
    </w:p>
    <w:p w14:paraId="3F0237C4" w14:textId="77777777" w:rsidR="00434E91" w:rsidRPr="006774C9" w:rsidRDefault="00434E91" w:rsidP="006774C9">
      <w:pPr>
        <w:pStyle w:val="ListParagraph"/>
        <w:numPr>
          <w:ilvl w:val="0"/>
          <w:numId w:val="28"/>
        </w:numPr>
        <w:jc w:val="both"/>
        <w:rPr>
          <w:rFonts w:ascii="Arial" w:hAnsi="Arial" w:cs="Arial"/>
        </w:rPr>
      </w:pPr>
      <w:r w:rsidRPr="006774C9">
        <w:rPr>
          <w:rFonts w:ascii="Arial" w:hAnsi="Arial" w:cs="Arial"/>
        </w:rPr>
        <w:t>This policy and associated registers must be reviewed at least annually.</w:t>
      </w:r>
    </w:p>
    <w:p w14:paraId="53223BD5" w14:textId="77777777" w:rsidR="00434E91" w:rsidRPr="006774C9" w:rsidRDefault="00434E91" w:rsidP="006774C9">
      <w:pPr>
        <w:pStyle w:val="ListParagraph"/>
        <w:numPr>
          <w:ilvl w:val="0"/>
          <w:numId w:val="28"/>
        </w:numPr>
        <w:jc w:val="both"/>
        <w:rPr>
          <w:rFonts w:ascii="Arial" w:hAnsi="Arial" w:cs="Arial"/>
        </w:rPr>
      </w:pPr>
      <w:r w:rsidRPr="006774C9">
        <w:rPr>
          <w:rFonts w:ascii="Arial" w:hAnsi="Arial" w:cs="Arial"/>
        </w:rPr>
        <w:t>Emerging regulations must be incorporated into the compliance framework.</w:t>
      </w:r>
    </w:p>
    <w:p w14:paraId="33EB8D24" w14:textId="6928562F" w:rsidR="00434E91" w:rsidRPr="00F35322" w:rsidRDefault="00434E91" w:rsidP="006774C9">
      <w:pPr>
        <w:pStyle w:val="ListParagraph"/>
        <w:numPr>
          <w:ilvl w:val="0"/>
          <w:numId w:val="28"/>
        </w:numPr>
        <w:jc w:val="both"/>
        <w:rPr>
          <w:rFonts w:ascii="Arial" w:hAnsi="Arial" w:cs="Arial"/>
        </w:rPr>
      </w:pPr>
      <w:r w:rsidRPr="006774C9">
        <w:rPr>
          <w:rFonts w:ascii="Arial" w:hAnsi="Arial" w:cs="Arial"/>
        </w:rPr>
        <w:t>Lessons learned from audits and incidents must drive continuous improvement.</w:t>
      </w:r>
    </w:p>
    <w:p w14:paraId="6E926CE6" w14:textId="77777777" w:rsidR="00434E91" w:rsidRPr="00434E91" w:rsidRDefault="00434E91" w:rsidP="006774C9">
      <w:pPr>
        <w:pStyle w:val="Heading1"/>
        <w:jc w:val="both"/>
      </w:pPr>
      <w:bookmarkStart w:id="16" w:name="_Toc207031451"/>
      <w:r w:rsidRPr="00434E91">
        <w:lastRenderedPageBreak/>
        <w:t>12. Related Documents</w:t>
      </w:r>
      <w:bookmarkEnd w:id="16"/>
    </w:p>
    <w:p w14:paraId="0268B70F" w14:textId="77777777" w:rsidR="00434E91" w:rsidRPr="006774C9" w:rsidRDefault="00434E91" w:rsidP="006774C9">
      <w:pPr>
        <w:pStyle w:val="ListParagraph"/>
        <w:numPr>
          <w:ilvl w:val="0"/>
          <w:numId w:val="29"/>
        </w:numPr>
        <w:jc w:val="both"/>
        <w:rPr>
          <w:rFonts w:ascii="Arial" w:hAnsi="Arial" w:cs="Arial"/>
        </w:rPr>
      </w:pPr>
      <w:r w:rsidRPr="006774C9">
        <w:rPr>
          <w:rFonts w:ascii="Arial" w:hAnsi="Arial" w:cs="Arial"/>
        </w:rPr>
        <w:t>Cybersecurity Risk Management Policy</w:t>
      </w:r>
    </w:p>
    <w:p w14:paraId="06436589" w14:textId="77777777" w:rsidR="00434E91" w:rsidRPr="006774C9" w:rsidRDefault="00434E91" w:rsidP="006774C9">
      <w:pPr>
        <w:pStyle w:val="ListParagraph"/>
        <w:numPr>
          <w:ilvl w:val="0"/>
          <w:numId w:val="29"/>
        </w:numPr>
        <w:jc w:val="both"/>
        <w:rPr>
          <w:rFonts w:ascii="Arial" w:hAnsi="Arial" w:cs="Arial"/>
        </w:rPr>
      </w:pPr>
      <w:r w:rsidRPr="006774C9">
        <w:rPr>
          <w:rFonts w:ascii="Arial" w:hAnsi="Arial" w:cs="Arial"/>
        </w:rPr>
        <w:t>Data Protection Policy</w:t>
      </w:r>
    </w:p>
    <w:p w14:paraId="629AFD41" w14:textId="77777777" w:rsidR="00434E91" w:rsidRPr="006774C9" w:rsidRDefault="00434E91" w:rsidP="006774C9">
      <w:pPr>
        <w:pStyle w:val="ListParagraph"/>
        <w:numPr>
          <w:ilvl w:val="0"/>
          <w:numId w:val="29"/>
        </w:numPr>
        <w:jc w:val="both"/>
        <w:rPr>
          <w:rFonts w:ascii="Arial" w:hAnsi="Arial" w:cs="Arial"/>
        </w:rPr>
      </w:pPr>
      <w:r w:rsidRPr="006774C9">
        <w:rPr>
          <w:rFonts w:ascii="Arial" w:hAnsi="Arial" w:cs="Arial"/>
        </w:rPr>
        <w:t>Third-Party Risk Management Policy</w:t>
      </w:r>
    </w:p>
    <w:p w14:paraId="6BC58ECD" w14:textId="666F4111" w:rsidR="00434E91" w:rsidRPr="00F35322" w:rsidRDefault="00434E91" w:rsidP="006774C9">
      <w:pPr>
        <w:pStyle w:val="ListParagraph"/>
        <w:numPr>
          <w:ilvl w:val="0"/>
          <w:numId w:val="29"/>
        </w:numPr>
        <w:jc w:val="both"/>
        <w:rPr>
          <w:rFonts w:ascii="Arial" w:hAnsi="Arial" w:cs="Arial"/>
        </w:rPr>
      </w:pPr>
      <w:r w:rsidRPr="006774C9">
        <w:rPr>
          <w:rFonts w:ascii="Arial" w:hAnsi="Arial" w:cs="Arial"/>
        </w:rPr>
        <w:t>Incident Response Plan</w:t>
      </w:r>
    </w:p>
    <w:p w14:paraId="15044A2F" w14:textId="77777777" w:rsidR="00434E91" w:rsidRDefault="00434E91" w:rsidP="006774C9">
      <w:pPr>
        <w:pStyle w:val="Heading1"/>
        <w:jc w:val="both"/>
      </w:pPr>
      <w:bookmarkStart w:id="17" w:name="_Toc207031452"/>
      <w:r w:rsidRPr="00434E91">
        <w:t>13. Revision History</w:t>
      </w:r>
      <w:bookmarkEnd w:id="17"/>
    </w:p>
    <w:tbl>
      <w:tblPr>
        <w:tblStyle w:val="TableGrid"/>
        <w:tblW w:w="0" w:type="auto"/>
        <w:tblLook w:val="04A0" w:firstRow="1" w:lastRow="0" w:firstColumn="1" w:lastColumn="0" w:noHBand="0" w:noVBand="1"/>
      </w:tblPr>
      <w:tblGrid>
        <w:gridCol w:w="2337"/>
        <w:gridCol w:w="2337"/>
        <w:gridCol w:w="2338"/>
        <w:gridCol w:w="2338"/>
      </w:tblGrid>
      <w:tr w:rsidR="006774C9" w14:paraId="15B2C458" w14:textId="77777777" w:rsidTr="00A134DD">
        <w:tc>
          <w:tcPr>
            <w:tcW w:w="2337" w:type="dxa"/>
          </w:tcPr>
          <w:p w14:paraId="5A6CB4F8" w14:textId="672FD4D0" w:rsidR="006774C9" w:rsidRDefault="006774C9" w:rsidP="006774C9">
            <w:r w:rsidRPr="00434E91">
              <w:rPr>
                <w:rFonts w:ascii="Arial" w:hAnsi="Arial" w:cs="Arial"/>
                <w:b/>
                <w:bCs/>
              </w:rPr>
              <w:t>Version</w:t>
            </w:r>
          </w:p>
        </w:tc>
        <w:tc>
          <w:tcPr>
            <w:tcW w:w="2337" w:type="dxa"/>
          </w:tcPr>
          <w:p w14:paraId="176782E9" w14:textId="11FCBBF8" w:rsidR="006774C9" w:rsidRDefault="006774C9" w:rsidP="006774C9">
            <w:r w:rsidRPr="00434E91">
              <w:rPr>
                <w:rFonts w:ascii="Arial" w:hAnsi="Arial" w:cs="Arial"/>
                <w:b/>
                <w:bCs/>
              </w:rPr>
              <w:t>Date</w:t>
            </w:r>
          </w:p>
        </w:tc>
        <w:tc>
          <w:tcPr>
            <w:tcW w:w="2338" w:type="dxa"/>
          </w:tcPr>
          <w:p w14:paraId="7915DEF0" w14:textId="56928379" w:rsidR="006774C9" w:rsidRDefault="006774C9" w:rsidP="006774C9">
            <w:r w:rsidRPr="00434E91">
              <w:rPr>
                <w:rFonts w:ascii="Arial" w:hAnsi="Arial" w:cs="Arial"/>
                <w:b/>
                <w:bCs/>
              </w:rPr>
              <w:t>Description</w:t>
            </w:r>
          </w:p>
        </w:tc>
        <w:tc>
          <w:tcPr>
            <w:tcW w:w="2338" w:type="dxa"/>
            <w:vAlign w:val="center"/>
          </w:tcPr>
          <w:p w14:paraId="5716832A" w14:textId="3CC503F3" w:rsidR="006774C9" w:rsidRDefault="006774C9" w:rsidP="006774C9">
            <w:r w:rsidRPr="00434E91">
              <w:rPr>
                <w:rFonts w:ascii="Arial" w:hAnsi="Arial" w:cs="Arial"/>
                <w:b/>
                <w:bCs/>
              </w:rPr>
              <w:t>Approved By</w:t>
            </w:r>
          </w:p>
        </w:tc>
      </w:tr>
      <w:tr w:rsidR="006774C9" w14:paraId="03E533DD" w14:textId="77777777" w:rsidTr="006774C9">
        <w:tc>
          <w:tcPr>
            <w:tcW w:w="2337" w:type="dxa"/>
          </w:tcPr>
          <w:p w14:paraId="06230E88" w14:textId="77777777" w:rsidR="006774C9" w:rsidRDefault="006774C9" w:rsidP="006774C9"/>
        </w:tc>
        <w:tc>
          <w:tcPr>
            <w:tcW w:w="2337" w:type="dxa"/>
          </w:tcPr>
          <w:p w14:paraId="09F1317B" w14:textId="77777777" w:rsidR="006774C9" w:rsidRDefault="006774C9" w:rsidP="006774C9"/>
        </w:tc>
        <w:tc>
          <w:tcPr>
            <w:tcW w:w="2338" w:type="dxa"/>
          </w:tcPr>
          <w:p w14:paraId="0503E666" w14:textId="77777777" w:rsidR="006774C9" w:rsidRDefault="006774C9" w:rsidP="006774C9"/>
        </w:tc>
        <w:tc>
          <w:tcPr>
            <w:tcW w:w="2338" w:type="dxa"/>
          </w:tcPr>
          <w:p w14:paraId="01AA78B4" w14:textId="77777777" w:rsidR="006774C9" w:rsidRDefault="006774C9" w:rsidP="006774C9"/>
        </w:tc>
      </w:tr>
    </w:tbl>
    <w:p w14:paraId="08C516D1" w14:textId="72AF779C" w:rsidR="00434E91" w:rsidRPr="00434E91" w:rsidRDefault="00434E91" w:rsidP="006774C9">
      <w:pPr>
        <w:jc w:val="both"/>
        <w:rPr>
          <w:rFonts w:ascii="Arial" w:hAnsi="Arial" w:cs="Arial"/>
        </w:rPr>
      </w:pPr>
    </w:p>
    <w:p w14:paraId="0C090102" w14:textId="77777777" w:rsidR="00434E91" w:rsidRDefault="00434E91" w:rsidP="006774C9">
      <w:pPr>
        <w:pStyle w:val="Heading2"/>
        <w:jc w:val="both"/>
      </w:pPr>
      <w:bookmarkStart w:id="18" w:name="_Toc207031453"/>
      <w:r w:rsidRPr="00434E91">
        <w:t>Appendix A – Sample Regulatory Obligations Register</w:t>
      </w:r>
      <w:bookmarkEnd w:id="18"/>
    </w:p>
    <w:tbl>
      <w:tblPr>
        <w:tblStyle w:val="TableGrid"/>
        <w:tblW w:w="0" w:type="auto"/>
        <w:tblLook w:val="04A0" w:firstRow="1" w:lastRow="0" w:firstColumn="1" w:lastColumn="0" w:noHBand="0" w:noVBand="1"/>
      </w:tblPr>
      <w:tblGrid>
        <w:gridCol w:w="1333"/>
        <w:gridCol w:w="1353"/>
        <w:gridCol w:w="1561"/>
        <w:gridCol w:w="1323"/>
        <w:gridCol w:w="1316"/>
        <w:gridCol w:w="1232"/>
        <w:gridCol w:w="1232"/>
      </w:tblGrid>
      <w:tr w:rsidR="006774C9" w14:paraId="63FAC615" w14:textId="77777777" w:rsidTr="006774C9">
        <w:tc>
          <w:tcPr>
            <w:tcW w:w="1333" w:type="dxa"/>
          </w:tcPr>
          <w:p w14:paraId="638E2606" w14:textId="5E3B7EE4" w:rsidR="006774C9" w:rsidRDefault="006774C9" w:rsidP="006774C9">
            <w:r w:rsidRPr="00434E91">
              <w:rPr>
                <w:rFonts w:ascii="Arial" w:hAnsi="Arial" w:cs="Arial"/>
                <w:b/>
                <w:bCs/>
              </w:rPr>
              <w:t>Obligation ID</w:t>
            </w:r>
          </w:p>
        </w:tc>
        <w:tc>
          <w:tcPr>
            <w:tcW w:w="1353" w:type="dxa"/>
          </w:tcPr>
          <w:p w14:paraId="5F558D91" w14:textId="23344110" w:rsidR="006774C9" w:rsidRDefault="006774C9" w:rsidP="006774C9">
            <w:r w:rsidRPr="00434E91">
              <w:rPr>
                <w:rFonts w:ascii="Arial" w:hAnsi="Arial" w:cs="Arial"/>
                <w:b/>
                <w:bCs/>
              </w:rPr>
              <w:t>Regulation / Standard</w:t>
            </w:r>
          </w:p>
        </w:tc>
        <w:tc>
          <w:tcPr>
            <w:tcW w:w="1561" w:type="dxa"/>
          </w:tcPr>
          <w:p w14:paraId="7024E843" w14:textId="1FE1DA8D" w:rsidR="006774C9" w:rsidRDefault="006774C9" w:rsidP="006774C9">
            <w:r w:rsidRPr="00434E91">
              <w:rPr>
                <w:rFonts w:ascii="Arial" w:hAnsi="Arial" w:cs="Arial"/>
                <w:b/>
                <w:bCs/>
              </w:rPr>
              <w:t>Requirement</w:t>
            </w:r>
          </w:p>
        </w:tc>
        <w:tc>
          <w:tcPr>
            <w:tcW w:w="1323" w:type="dxa"/>
          </w:tcPr>
          <w:p w14:paraId="52EF4474" w14:textId="499B977C" w:rsidR="006774C9" w:rsidRDefault="006774C9" w:rsidP="006774C9">
            <w:r w:rsidRPr="00434E91">
              <w:rPr>
                <w:rFonts w:ascii="Arial" w:hAnsi="Arial" w:cs="Arial"/>
                <w:b/>
                <w:bCs/>
              </w:rPr>
              <w:t>Business Unit</w:t>
            </w:r>
          </w:p>
        </w:tc>
        <w:tc>
          <w:tcPr>
            <w:tcW w:w="1316" w:type="dxa"/>
          </w:tcPr>
          <w:p w14:paraId="4022088E" w14:textId="6A3CB2EF" w:rsidR="006774C9" w:rsidRDefault="006774C9" w:rsidP="006774C9">
            <w:r w:rsidRPr="00434E91">
              <w:rPr>
                <w:rFonts w:ascii="Arial" w:hAnsi="Arial" w:cs="Arial"/>
                <w:b/>
                <w:bCs/>
              </w:rPr>
              <w:t>Control Mapping</w:t>
            </w:r>
          </w:p>
        </w:tc>
        <w:tc>
          <w:tcPr>
            <w:tcW w:w="1232" w:type="dxa"/>
            <w:vAlign w:val="center"/>
          </w:tcPr>
          <w:p w14:paraId="74AF176F" w14:textId="46FF2EF4" w:rsidR="006774C9" w:rsidRDefault="006774C9" w:rsidP="006774C9">
            <w:r w:rsidRPr="00434E91">
              <w:rPr>
                <w:rFonts w:ascii="Arial" w:hAnsi="Arial" w:cs="Arial"/>
                <w:b/>
                <w:bCs/>
              </w:rPr>
              <w:t>Owner</w:t>
            </w:r>
          </w:p>
        </w:tc>
        <w:tc>
          <w:tcPr>
            <w:tcW w:w="1232" w:type="dxa"/>
          </w:tcPr>
          <w:p w14:paraId="7C22F415" w14:textId="49C361F7" w:rsidR="006774C9" w:rsidRDefault="006774C9" w:rsidP="006774C9">
            <w:r w:rsidRPr="00434E91">
              <w:rPr>
                <w:rFonts w:ascii="Arial" w:hAnsi="Arial" w:cs="Arial"/>
                <w:b/>
                <w:bCs/>
              </w:rPr>
              <w:t>Status</w:t>
            </w:r>
          </w:p>
        </w:tc>
      </w:tr>
      <w:tr w:rsidR="006774C9" w14:paraId="564DA04D" w14:textId="77777777" w:rsidTr="00C6019D">
        <w:tc>
          <w:tcPr>
            <w:tcW w:w="1333" w:type="dxa"/>
          </w:tcPr>
          <w:p w14:paraId="268E0898" w14:textId="440F03D4" w:rsidR="006774C9" w:rsidRDefault="006774C9" w:rsidP="006774C9">
            <w:r w:rsidRPr="00434E91">
              <w:rPr>
                <w:rFonts w:ascii="Arial" w:hAnsi="Arial" w:cs="Arial"/>
              </w:rPr>
              <w:t>REG-001</w:t>
            </w:r>
          </w:p>
        </w:tc>
        <w:tc>
          <w:tcPr>
            <w:tcW w:w="1353" w:type="dxa"/>
            <w:vAlign w:val="center"/>
          </w:tcPr>
          <w:p w14:paraId="31EC7773" w14:textId="11B71F8C" w:rsidR="006774C9" w:rsidRDefault="006774C9" w:rsidP="006774C9">
            <w:r w:rsidRPr="00434E91">
              <w:rPr>
                <w:rFonts w:ascii="Arial" w:hAnsi="Arial" w:cs="Arial"/>
              </w:rPr>
              <w:t>GDPR</w:t>
            </w:r>
          </w:p>
        </w:tc>
        <w:tc>
          <w:tcPr>
            <w:tcW w:w="1561" w:type="dxa"/>
          </w:tcPr>
          <w:p w14:paraId="57AF5483" w14:textId="32B197F5" w:rsidR="006774C9" w:rsidRDefault="006774C9" w:rsidP="006774C9">
            <w:r w:rsidRPr="00434E91">
              <w:rPr>
                <w:rFonts w:ascii="Arial" w:hAnsi="Arial" w:cs="Arial"/>
              </w:rPr>
              <w:t>Data subject access requests within 30 days</w:t>
            </w:r>
          </w:p>
        </w:tc>
        <w:tc>
          <w:tcPr>
            <w:tcW w:w="1323" w:type="dxa"/>
          </w:tcPr>
          <w:p w14:paraId="7C4A0858" w14:textId="4B64B752" w:rsidR="006774C9" w:rsidRDefault="006774C9" w:rsidP="006774C9">
            <w:r w:rsidRPr="00434E91">
              <w:rPr>
                <w:rFonts w:ascii="Arial" w:hAnsi="Arial" w:cs="Arial"/>
              </w:rPr>
              <w:t>All</w:t>
            </w:r>
          </w:p>
        </w:tc>
        <w:tc>
          <w:tcPr>
            <w:tcW w:w="1316" w:type="dxa"/>
          </w:tcPr>
          <w:p w14:paraId="3F2F013E" w14:textId="52380511" w:rsidR="006774C9" w:rsidRDefault="006774C9" w:rsidP="006774C9">
            <w:r w:rsidRPr="00434E91">
              <w:rPr>
                <w:rFonts w:ascii="Arial" w:hAnsi="Arial" w:cs="Arial"/>
              </w:rPr>
              <w:t>Incident Response &amp; Privacy Policy</w:t>
            </w:r>
          </w:p>
        </w:tc>
        <w:tc>
          <w:tcPr>
            <w:tcW w:w="1232" w:type="dxa"/>
          </w:tcPr>
          <w:p w14:paraId="094F894F" w14:textId="74A780F0" w:rsidR="006774C9" w:rsidRDefault="006774C9" w:rsidP="006774C9">
            <w:r w:rsidRPr="00434E91">
              <w:rPr>
                <w:rFonts w:ascii="Arial" w:hAnsi="Arial" w:cs="Arial"/>
              </w:rPr>
              <w:t>Data Protection Officer</w:t>
            </w:r>
          </w:p>
        </w:tc>
        <w:tc>
          <w:tcPr>
            <w:tcW w:w="1232" w:type="dxa"/>
            <w:vAlign w:val="center"/>
          </w:tcPr>
          <w:p w14:paraId="4B5350C0" w14:textId="160159BA" w:rsidR="006774C9" w:rsidRDefault="006774C9" w:rsidP="006774C9">
            <w:r w:rsidRPr="00434E91">
              <w:rPr>
                <w:rFonts w:ascii="Arial" w:hAnsi="Arial" w:cs="Arial"/>
              </w:rPr>
              <w:t>In Progress</w:t>
            </w:r>
          </w:p>
        </w:tc>
      </w:tr>
      <w:tr w:rsidR="006774C9" w14:paraId="6232286D" w14:textId="77777777" w:rsidTr="006774C9">
        <w:tc>
          <w:tcPr>
            <w:tcW w:w="1333" w:type="dxa"/>
          </w:tcPr>
          <w:p w14:paraId="7B0B9FE8" w14:textId="2DC3561E" w:rsidR="006774C9" w:rsidRDefault="006774C9" w:rsidP="006774C9">
            <w:r w:rsidRPr="00434E91">
              <w:rPr>
                <w:rFonts w:ascii="Arial" w:hAnsi="Arial" w:cs="Arial"/>
              </w:rPr>
              <w:t>REG-002</w:t>
            </w:r>
          </w:p>
        </w:tc>
        <w:tc>
          <w:tcPr>
            <w:tcW w:w="1353" w:type="dxa"/>
          </w:tcPr>
          <w:p w14:paraId="080283BE" w14:textId="020AD0E8" w:rsidR="006774C9" w:rsidRDefault="006774C9" w:rsidP="006774C9">
            <w:r w:rsidRPr="00434E91">
              <w:rPr>
                <w:rFonts w:ascii="Arial" w:hAnsi="Arial" w:cs="Arial"/>
              </w:rPr>
              <w:t>PCI DSS</w:t>
            </w:r>
          </w:p>
        </w:tc>
        <w:tc>
          <w:tcPr>
            <w:tcW w:w="1561" w:type="dxa"/>
          </w:tcPr>
          <w:p w14:paraId="6384B842" w14:textId="65CA2C73" w:rsidR="006774C9" w:rsidRDefault="00F35322" w:rsidP="006774C9">
            <w:r w:rsidRPr="00434E91">
              <w:rPr>
                <w:rFonts w:ascii="Arial" w:hAnsi="Arial" w:cs="Arial"/>
              </w:rPr>
              <w:t>Encrypt cardholder data in storage &amp; transit</w:t>
            </w:r>
          </w:p>
        </w:tc>
        <w:tc>
          <w:tcPr>
            <w:tcW w:w="1323" w:type="dxa"/>
          </w:tcPr>
          <w:p w14:paraId="759DAA91" w14:textId="600531CE" w:rsidR="006774C9" w:rsidRDefault="00F35322" w:rsidP="006774C9">
            <w:r w:rsidRPr="00434E91">
              <w:rPr>
                <w:rFonts w:ascii="Arial" w:hAnsi="Arial" w:cs="Arial"/>
              </w:rPr>
              <w:t>Finance</w:t>
            </w:r>
          </w:p>
        </w:tc>
        <w:tc>
          <w:tcPr>
            <w:tcW w:w="1316" w:type="dxa"/>
          </w:tcPr>
          <w:p w14:paraId="3CA580C6" w14:textId="349D58EE" w:rsidR="006774C9" w:rsidRDefault="00F35322" w:rsidP="006774C9">
            <w:r w:rsidRPr="00434E91">
              <w:rPr>
                <w:rFonts w:ascii="Arial" w:hAnsi="Arial" w:cs="Arial"/>
              </w:rPr>
              <w:t>Encryption Standard</w:t>
            </w:r>
          </w:p>
        </w:tc>
        <w:tc>
          <w:tcPr>
            <w:tcW w:w="1232" w:type="dxa"/>
          </w:tcPr>
          <w:p w14:paraId="344A0EC3" w14:textId="289AB268" w:rsidR="006774C9" w:rsidRDefault="00F35322" w:rsidP="006774C9">
            <w:r w:rsidRPr="00434E91">
              <w:rPr>
                <w:rFonts w:ascii="Arial" w:hAnsi="Arial" w:cs="Arial"/>
              </w:rPr>
              <w:t>IT Security</w:t>
            </w:r>
          </w:p>
        </w:tc>
        <w:tc>
          <w:tcPr>
            <w:tcW w:w="1232" w:type="dxa"/>
          </w:tcPr>
          <w:p w14:paraId="182518B9" w14:textId="3CFF00F2" w:rsidR="006774C9" w:rsidRDefault="00F35322" w:rsidP="006774C9">
            <w:r w:rsidRPr="00434E91">
              <w:rPr>
                <w:rFonts w:ascii="Arial" w:hAnsi="Arial" w:cs="Arial"/>
              </w:rPr>
              <w:t>Compliant</w:t>
            </w:r>
          </w:p>
        </w:tc>
      </w:tr>
    </w:tbl>
    <w:p w14:paraId="0284DB9E" w14:textId="6EBF9099" w:rsidR="00434E91" w:rsidRPr="00434E91" w:rsidRDefault="00434E91" w:rsidP="006774C9">
      <w:pPr>
        <w:jc w:val="both"/>
        <w:rPr>
          <w:rFonts w:ascii="Arial" w:hAnsi="Arial" w:cs="Arial"/>
        </w:rPr>
      </w:pPr>
    </w:p>
    <w:p w14:paraId="3DE9E7DB" w14:textId="77777777" w:rsidR="00434E91" w:rsidRDefault="00434E91" w:rsidP="006774C9">
      <w:pPr>
        <w:pStyle w:val="Heading2"/>
        <w:jc w:val="both"/>
      </w:pPr>
      <w:bookmarkStart w:id="19" w:name="_Toc207031454"/>
      <w:r w:rsidRPr="00434E91">
        <w:t>Appendix B – Compliance Calendar (Sample)</w:t>
      </w:r>
      <w:bookmarkEnd w:id="19"/>
    </w:p>
    <w:tbl>
      <w:tblPr>
        <w:tblStyle w:val="TableGrid"/>
        <w:tblW w:w="0" w:type="auto"/>
        <w:tblLook w:val="04A0" w:firstRow="1" w:lastRow="0" w:firstColumn="1" w:lastColumn="0" w:noHBand="0" w:noVBand="1"/>
      </w:tblPr>
      <w:tblGrid>
        <w:gridCol w:w="2337"/>
        <w:gridCol w:w="2337"/>
        <w:gridCol w:w="2338"/>
        <w:gridCol w:w="2338"/>
      </w:tblGrid>
      <w:tr w:rsidR="00F35322" w14:paraId="76B644A2" w14:textId="77777777" w:rsidTr="00F35322">
        <w:tc>
          <w:tcPr>
            <w:tcW w:w="2337" w:type="dxa"/>
          </w:tcPr>
          <w:p w14:paraId="4696B2BF" w14:textId="378E360C" w:rsidR="00F35322" w:rsidRDefault="00F35322" w:rsidP="00F35322">
            <w:r w:rsidRPr="00434E91">
              <w:rPr>
                <w:rFonts w:ascii="Arial" w:hAnsi="Arial" w:cs="Arial"/>
                <w:b/>
                <w:bCs/>
              </w:rPr>
              <w:t>Activity</w:t>
            </w:r>
          </w:p>
        </w:tc>
        <w:tc>
          <w:tcPr>
            <w:tcW w:w="2337" w:type="dxa"/>
          </w:tcPr>
          <w:p w14:paraId="1E54209B" w14:textId="6ADEE655" w:rsidR="00F35322" w:rsidRDefault="00F35322" w:rsidP="00F35322">
            <w:r w:rsidRPr="00434E91">
              <w:rPr>
                <w:rFonts w:ascii="Arial" w:hAnsi="Arial" w:cs="Arial"/>
                <w:b/>
                <w:bCs/>
              </w:rPr>
              <w:t>Frequency</w:t>
            </w:r>
          </w:p>
        </w:tc>
        <w:tc>
          <w:tcPr>
            <w:tcW w:w="2338" w:type="dxa"/>
          </w:tcPr>
          <w:p w14:paraId="1C739E45" w14:textId="5916E4B8" w:rsidR="00F35322" w:rsidRDefault="00F35322" w:rsidP="00F35322">
            <w:r w:rsidRPr="00434E91">
              <w:rPr>
                <w:rFonts w:ascii="Arial" w:hAnsi="Arial" w:cs="Arial"/>
                <w:b/>
                <w:bCs/>
              </w:rPr>
              <w:t>Responsible Party</w:t>
            </w:r>
          </w:p>
        </w:tc>
        <w:tc>
          <w:tcPr>
            <w:tcW w:w="2338" w:type="dxa"/>
          </w:tcPr>
          <w:p w14:paraId="1A8B8D3E" w14:textId="0BF73BCC" w:rsidR="00F35322" w:rsidRDefault="00F35322" w:rsidP="00F35322">
            <w:r w:rsidRPr="00434E91">
              <w:rPr>
                <w:rFonts w:ascii="Arial" w:hAnsi="Arial" w:cs="Arial"/>
                <w:b/>
                <w:bCs/>
              </w:rPr>
              <w:t>Next Due Date</w:t>
            </w:r>
          </w:p>
        </w:tc>
      </w:tr>
      <w:tr w:rsidR="00F35322" w14:paraId="6F247C7A" w14:textId="77777777" w:rsidTr="00E003BC">
        <w:tc>
          <w:tcPr>
            <w:tcW w:w="2337" w:type="dxa"/>
            <w:vAlign w:val="center"/>
          </w:tcPr>
          <w:p w14:paraId="4973F522" w14:textId="30C15A1F" w:rsidR="00F35322" w:rsidRDefault="00F35322" w:rsidP="00F35322">
            <w:r w:rsidRPr="00434E91">
              <w:rPr>
                <w:rFonts w:ascii="Arial" w:hAnsi="Arial" w:cs="Arial"/>
              </w:rPr>
              <w:t>Internal Compliance Audit</w:t>
            </w:r>
          </w:p>
        </w:tc>
        <w:tc>
          <w:tcPr>
            <w:tcW w:w="2337" w:type="dxa"/>
          </w:tcPr>
          <w:p w14:paraId="009003FB" w14:textId="34513D98" w:rsidR="00F35322" w:rsidRDefault="00F35322" w:rsidP="00F35322">
            <w:r w:rsidRPr="00434E91">
              <w:rPr>
                <w:rFonts w:ascii="Arial" w:hAnsi="Arial" w:cs="Arial"/>
              </w:rPr>
              <w:t>Annual</w:t>
            </w:r>
          </w:p>
        </w:tc>
        <w:tc>
          <w:tcPr>
            <w:tcW w:w="2338" w:type="dxa"/>
          </w:tcPr>
          <w:p w14:paraId="2FF55381" w14:textId="57531F3B" w:rsidR="00F35322" w:rsidRDefault="00F35322" w:rsidP="00F35322">
            <w:r w:rsidRPr="00434E91">
              <w:rPr>
                <w:rFonts w:ascii="Arial" w:hAnsi="Arial" w:cs="Arial"/>
              </w:rPr>
              <w:t>Internal Audit</w:t>
            </w:r>
          </w:p>
        </w:tc>
        <w:tc>
          <w:tcPr>
            <w:tcW w:w="2338" w:type="dxa"/>
            <w:vAlign w:val="center"/>
          </w:tcPr>
          <w:p w14:paraId="719152DA" w14:textId="71E4F10E" w:rsidR="00F35322" w:rsidRDefault="00F35322" w:rsidP="00F35322">
            <w:r w:rsidRPr="00434E91">
              <w:rPr>
                <w:rFonts w:ascii="Arial" w:hAnsi="Arial" w:cs="Arial"/>
              </w:rPr>
              <w:t>[Insert Date]</w:t>
            </w:r>
          </w:p>
        </w:tc>
      </w:tr>
      <w:tr w:rsidR="00F35322" w14:paraId="7A03FAFA" w14:textId="77777777" w:rsidTr="00977A27">
        <w:tc>
          <w:tcPr>
            <w:tcW w:w="2337" w:type="dxa"/>
            <w:vAlign w:val="center"/>
          </w:tcPr>
          <w:p w14:paraId="65C83F8A" w14:textId="4E07C078" w:rsidR="00F35322" w:rsidRDefault="00F35322" w:rsidP="00F35322">
            <w:r w:rsidRPr="00434E91">
              <w:rPr>
                <w:rFonts w:ascii="Arial" w:hAnsi="Arial" w:cs="Arial"/>
              </w:rPr>
              <w:t>GDPR Record of Processing Update</w:t>
            </w:r>
          </w:p>
        </w:tc>
        <w:tc>
          <w:tcPr>
            <w:tcW w:w="2337" w:type="dxa"/>
            <w:vAlign w:val="center"/>
          </w:tcPr>
          <w:p w14:paraId="4E3A8EA3" w14:textId="2596769A" w:rsidR="00F35322" w:rsidRDefault="00F35322" w:rsidP="00F35322">
            <w:r w:rsidRPr="00434E91">
              <w:rPr>
                <w:rFonts w:ascii="Arial" w:hAnsi="Arial" w:cs="Arial"/>
              </w:rPr>
              <w:t>Quarterly</w:t>
            </w:r>
          </w:p>
        </w:tc>
        <w:tc>
          <w:tcPr>
            <w:tcW w:w="2338" w:type="dxa"/>
          </w:tcPr>
          <w:p w14:paraId="377EE692" w14:textId="6DC959A6" w:rsidR="00F35322" w:rsidRDefault="00F35322" w:rsidP="00F35322">
            <w:r w:rsidRPr="00434E91">
              <w:rPr>
                <w:rFonts w:ascii="Arial" w:hAnsi="Arial" w:cs="Arial"/>
              </w:rPr>
              <w:t>Data Protection Officer</w:t>
            </w:r>
          </w:p>
        </w:tc>
        <w:tc>
          <w:tcPr>
            <w:tcW w:w="2338" w:type="dxa"/>
            <w:vAlign w:val="center"/>
          </w:tcPr>
          <w:p w14:paraId="1A604356" w14:textId="0B0426CC" w:rsidR="00F35322" w:rsidRDefault="00F35322" w:rsidP="00F35322">
            <w:r w:rsidRPr="00434E91">
              <w:rPr>
                <w:rFonts w:ascii="Arial" w:hAnsi="Arial" w:cs="Arial"/>
              </w:rPr>
              <w:t>[Insert Date]</w:t>
            </w:r>
          </w:p>
        </w:tc>
      </w:tr>
      <w:tr w:rsidR="00F35322" w14:paraId="12A2BAFF" w14:textId="77777777" w:rsidTr="004D5728">
        <w:tc>
          <w:tcPr>
            <w:tcW w:w="2337" w:type="dxa"/>
            <w:vAlign w:val="center"/>
          </w:tcPr>
          <w:p w14:paraId="05C046A1" w14:textId="6A0684A6" w:rsidR="00F35322" w:rsidRDefault="00F35322" w:rsidP="00F35322">
            <w:r w:rsidRPr="00434E91">
              <w:rPr>
                <w:rFonts w:ascii="Arial" w:hAnsi="Arial" w:cs="Arial"/>
              </w:rPr>
              <w:t>Vendor SOC 2 Review</w:t>
            </w:r>
          </w:p>
        </w:tc>
        <w:tc>
          <w:tcPr>
            <w:tcW w:w="2337" w:type="dxa"/>
          </w:tcPr>
          <w:p w14:paraId="3C624111" w14:textId="760C466C" w:rsidR="00F35322" w:rsidRDefault="00F35322" w:rsidP="00F35322">
            <w:r w:rsidRPr="00434E91">
              <w:rPr>
                <w:rFonts w:ascii="Arial" w:hAnsi="Arial" w:cs="Arial"/>
              </w:rPr>
              <w:t>Annual</w:t>
            </w:r>
          </w:p>
        </w:tc>
        <w:tc>
          <w:tcPr>
            <w:tcW w:w="2338" w:type="dxa"/>
          </w:tcPr>
          <w:p w14:paraId="2066F3F5" w14:textId="0C17271F" w:rsidR="00F35322" w:rsidRDefault="00F35322" w:rsidP="00F35322">
            <w:r w:rsidRPr="00434E91">
              <w:rPr>
                <w:rFonts w:ascii="Arial" w:hAnsi="Arial" w:cs="Arial"/>
              </w:rPr>
              <w:t>Vendor Risk Manager</w:t>
            </w:r>
          </w:p>
        </w:tc>
        <w:tc>
          <w:tcPr>
            <w:tcW w:w="2338" w:type="dxa"/>
            <w:vAlign w:val="center"/>
          </w:tcPr>
          <w:p w14:paraId="28A9BC1F" w14:textId="6ACD9581" w:rsidR="00F35322" w:rsidRDefault="00F35322" w:rsidP="00F35322">
            <w:r w:rsidRPr="00434E91">
              <w:rPr>
                <w:rFonts w:ascii="Arial" w:hAnsi="Arial" w:cs="Arial"/>
              </w:rPr>
              <w:t>[Insert Date]</w:t>
            </w:r>
          </w:p>
        </w:tc>
      </w:tr>
    </w:tbl>
    <w:p w14:paraId="28F1B6F7" w14:textId="30B3B079" w:rsidR="00434E91" w:rsidRPr="00434E91" w:rsidRDefault="00434E91" w:rsidP="006774C9">
      <w:pPr>
        <w:jc w:val="both"/>
        <w:rPr>
          <w:rFonts w:ascii="Arial" w:hAnsi="Arial" w:cs="Arial"/>
        </w:rPr>
      </w:pPr>
    </w:p>
    <w:p w14:paraId="7B29EA01" w14:textId="45763C10" w:rsidR="00F35322" w:rsidRPr="00F35322" w:rsidRDefault="00434E91" w:rsidP="00F35322">
      <w:pPr>
        <w:pStyle w:val="Heading2"/>
        <w:jc w:val="both"/>
      </w:pPr>
      <w:bookmarkStart w:id="20" w:name="_Toc207031455"/>
      <w:r w:rsidRPr="00434E91">
        <w:t>Appendix C – Compliance Metrics Dashboard (Sample)</w:t>
      </w:r>
      <w:bookmarkEnd w:id="20"/>
    </w:p>
    <w:p w14:paraId="42C1696A" w14:textId="77777777" w:rsidR="00434E91" w:rsidRPr="00F35322" w:rsidRDefault="00434E91" w:rsidP="00F35322">
      <w:pPr>
        <w:pStyle w:val="ListParagraph"/>
        <w:numPr>
          <w:ilvl w:val="0"/>
          <w:numId w:val="31"/>
        </w:numPr>
        <w:jc w:val="both"/>
        <w:rPr>
          <w:rFonts w:ascii="Arial" w:hAnsi="Arial" w:cs="Arial"/>
        </w:rPr>
      </w:pPr>
      <w:r w:rsidRPr="00F35322">
        <w:rPr>
          <w:rFonts w:ascii="Arial" w:hAnsi="Arial" w:cs="Arial"/>
        </w:rPr>
        <w:t>Obligations Coverage: 85% mapped</w:t>
      </w:r>
    </w:p>
    <w:p w14:paraId="10F5E014" w14:textId="77777777" w:rsidR="00434E91" w:rsidRPr="00F35322" w:rsidRDefault="00434E91" w:rsidP="00F35322">
      <w:pPr>
        <w:pStyle w:val="ListParagraph"/>
        <w:numPr>
          <w:ilvl w:val="0"/>
          <w:numId w:val="31"/>
        </w:numPr>
        <w:jc w:val="both"/>
        <w:rPr>
          <w:rFonts w:ascii="Arial" w:hAnsi="Arial" w:cs="Arial"/>
        </w:rPr>
      </w:pPr>
      <w:r w:rsidRPr="00F35322">
        <w:rPr>
          <w:rFonts w:ascii="Arial" w:hAnsi="Arial" w:cs="Arial"/>
        </w:rPr>
        <w:t>Control Effectiveness: 78% validated</w:t>
      </w:r>
    </w:p>
    <w:p w14:paraId="43A20734" w14:textId="77777777" w:rsidR="00434E91" w:rsidRPr="00F35322" w:rsidRDefault="00434E91" w:rsidP="00F35322">
      <w:pPr>
        <w:pStyle w:val="ListParagraph"/>
        <w:numPr>
          <w:ilvl w:val="0"/>
          <w:numId w:val="31"/>
        </w:numPr>
        <w:jc w:val="both"/>
        <w:rPr>
          <w:rFonts w:ascii="Arial" w:hAnsi="Arial" w:cs="Arial"/>
        </w:rPr>
      </w:pPr>
      <w:r w:rsidRPr="00F35322">
        <w:rPr>
          <w:rFonts w:ascii="Arial" w:hAnsi="Arial" w:cs="Arial"/>
        </w:rPr>
        <w:t>Open Findings: 6 (4 high, 2 medium)</w:t>
      </w:r>
    </w:p>
    <w:p w14:paraId="39FB289D" w14:textId="77777777" w:rsidR="00434E91" w:rsidRPr="00F35322" w:rsidRDefault="00434E91" w:rsidP="00F35322">
      <w:pPr>
        <w:pStyle w:val="ListParagraph"/>
        <w:numPr>
          <w:ilvl w:val="0"/>
          <w:numId w:val="31"/>
        </w:numPr>
        <w:jc w:val="both"/>
        <w:rPr>
          <w:rFonts w:ascii="Arial" w:hAnsi="Arial" w:cs="Arial"/>
        </w:rPr>
      </w:pPr>
      <w:r w:rsidRPr="00F35322">
        <w:rPr>
          <w:rFonts w:ascii="Arial" w:hAnsi="Arial" w:cs="Arial"/>
        </w:rPr>
        <w:t>Average Remediation Time: 45 days</w:t>
      </w:r>
    </w:p>
    <w:p w14:paraId="3EA39449" w14:textId="77777777" w:rsidR="002176FF" w:rsidRDefault="002176FF" w:rsidP="006774C9">
      <w:pPr>
        <w:jc w:val="both"/>
      </w:pPr>
    </w:p>
    <w:sectPr w:rsidR="002176F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A2A6C" w14:textId="77777777" w:rsidR="00C70E0B" w:rsidRDefault="00C70E0B" w:rsidP="006774C9">
      <w:pPr>
        <w:spacing w:after="0" w:line="240" w:lineRule="auto"/>
      </w:pPr>
      <w:r>
        <w:separator/>
      </w:r>
    </w:p>
  </w:endnote>
  <w:endnote w:type="continuationSeparator" w:id="0">
    <w:p w14:paraId="1E88EFAC" w14:textId="77777777" w:rsidR="00C70E0B" w:rsidRDefault="00C70E0B" w:rsidP="00677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5994746"/>
      <w:docPartObj>
        <w:docPartGallery w:val="Page Numbers (Bottom of Page)"/>
        <w:docPartUnique/>
      </w:docPartObj>
    </w:sdtPr>
    <w:sdtEndPr>
      <w:rPr>
        <w:noProof/>
      </w:rPr>
    </w:sdtEndPr>
    <w:sdtContent>
      <w:p w14:paraId="2EA32F98" w14:textId="6F29C0F8" w:rsidR="00F35322" w:rsidRDefault="00F353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94A368" w14:textId="77777777" w:rsidR="00F35322" w:rsidRDefault="00F35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AC74C" w14:textId="77777777" w:rsidR="00C70E0B" w:rsidRDefault="00C70E0B" w:rsidP="006774C9">
      <w:pPr>
        <w:spacing w:after="0" w:line="240" w:lineRule="auto"/>
      </w:pPr>
      <w:r>
        <w:separator/>
      </w:r>
    </w:p>
  </w:footnote>
  <w:footnote w:type="continuationSeparator" w:id="0">
    <w:p w14:paraId="58FDAD6E" w14:textId="77777777" w:rsidR="00C70E0B" w:rsidRDefault="00C70E0B" w:rsidP="00677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79C68" w14:textId="0707F74A" w:rsidR="006774C9" w:rsidRPr="006774C9" w:rsidRDefault="006774C9" w:rsidP="006774C9">
    <w:pPr>
      <w:pStyle w:val="Header"/>
      <w:jc w:val="center"/>
      <w:rPr>
        <w:rFonts w:ascii="Arial" w:hAnsi="Arial" w:cs="Arial"/>
      </w:rPr>
    </w:pPr>
    <w:r w:rsidRPr="006774C9">
      <w:rPr>
        <w:rFonts w:ascii="Arial" w:hAnsi="Arial" w:cs="Arial"/>
      </w:rPr>
      <w:t>Made By Auxin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CAA"/>
    <w:multiLevelType w:val="multilevel"/>
    <w:tmpl w:val="BC02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375A3"/>
    <w:multiLevelType w:val="hybridMultilevel"/>
    <w:tmpl w:val="73F87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DC5945"/>
    <w:multiLevelType w:val="hybridMultilevel"/>
    <w:tmpl w:val="E636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03F31"/>
    <w:multiLevelType w:val="multilevel"/>
    <w:tmpl w:val="01C2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31DDA"/>
    <w:multiLevelType w:val="hybridMultilevel"/>
    <w:tmpl w:val="C15C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C5EE5"/>
    <w:multiLevelType w:val="hybridMultilevel"/>
    <w:tmpl w:val="7612E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7DAF"/>
    <w:multiLevelType w:val="multilevel"/>
    <w:tmpl w:val="D66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07D85"/>
    <w:multiLevelType w:val="multilevel"/>
    <w:tmpl w:val="3472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375F0"/>
    <w:multiLevelType w:val="hybridMultilevel"/>
    <w:tmpl w:val="7268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8589C"/>
    <w:multiLevelType w:val="hybridMultilevel"/>
    <w:tmpl w:val="4DBA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82DE5"/>
    <w:multiLevelType w:val="hybridMultilevel"/>
    <w:tmpl w:val="B3BA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77119"/>
    <w:multiLevelType w:val="hybridMultilevel"/>
    <w:tmpl w:val="3DF0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B93F21"/>
    <w:multiLevelType w:val="multilevel"/>
    <w:tmpl w:val="4B9C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14399"/>
    <w:multiLevelType w:val="multilevel"/>
    <w:tmpl w:val="1A4A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03396E"/>
    <w:multiLevelType w:val="multilevel"/>
    <w:tmpl w:val="FC98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47E7E"/>
    <w:multiLevelType w:val="multilevel"/>
    <w:tmpl w:val="F8EA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24701"/>
    <w:multiLevelType w:val="hybridMultilevel"/>
    <w:tmpl w:val="8B98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97068"/>
    <w:multiLevelType w:val="multilevel"/>
    <w:tmpl w:val="148E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1111A1"/>
    <w:multiLevelType w:val="hybridMultilevel"/>
    <w:tmpl w:val="0BF4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43C70"/>
    <w:multiLevelType w:val="hybridMultilevel"/>
    <w:tmpl w:val="C03E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F533F"/>
    <w:multiLevelType w:val="hybridMultilevel"/>
    <w:tmpl w:val="B2E6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B95D69"/>
    <w:multiLevelType w:val="multilevel"/>
    <w:tmpl w:val="8316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6D055E"/>
    <w:multiLevelType w:val="hybridMultilevel"/>
    <w:tmpl w:val="4212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B1208"/>
    <w:multiLevelType w:val="multilevel"/>
    <w:tmpl w:val="F17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B057E"/>
    <w:multiLevelType w:val="multilevel"/>
    <w:tmpl w:val="A0E4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32772"/>
    <w:multiLevelType w:val="hybridMultilevel"/>
    <w:tmpl w:val="FF48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4A31AC"/>
    <w:multiLevelType w:val="hybridMultilevel"/>
    <w:tmpl w:val="8388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D2C90"/>
    <w:multiLevelType w:val="hybridMultilevel"/>
    <w:tmpl w:val="A132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A26E7F"/>
    <w:multiLevelType w:val="hybridMultilevel"/>
    <w:tmpl w:val="A68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3007A7"/>
    <w:multiLevelType w:val="multilevel"/>
    <w:tmpl w:val="5FFE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37672D"/>
    <w:multiLevelType w:val="multilevel"/>
    <w:tmpl w:val="D442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371708">
    <w:abstractNumId w:val="0"/>
  </w:num>
  <w:num w:numId="2" w16cid:durableId="67196210">
    <w:abstractNumId w:val="12"/>
  </w:num>
  <w:num w:numId="3" w16cid:durableId="929970763">
    <w:abstractNumId w:val="13"/>
  </w:num>
  <w:num w:numId="4" w16cid:durableId="1060978846">
    <w:abstractNumId w:val="3"/>
  </w:num>
  <w:num w:numId="5" w16cid:durableId="257907198">
    <w:abstractNumId w:val="7"/>
  </w:num>
  <w:num w:numId="6" w16cid:durableId="218052849">
    <w:abstractNumId w:val="15"/>
  </w:num>
  <w:num w:numId="7" w16cid:durableId="1714620638">
    <w:abstractNumId w:val="17"/>
  </w:num>
  <w:num w:numId="8" w16cid:durableId="1821995045">
    <w:abstractNumId w:val="21"/>
  </w:num>
  <w:num w:numId="9" w16cid:durableId="245726849">
    <w:abstractNumId w:val="6"/>
  </w:num>
  <w:num w:numId="10" w16cid:durableId="460928199">
    <w:abstractNumId w:val="29"/>
  </w:num>
  <w:num w:numId="11" w16cid:durableId="722599957">
    <w:abstractNumId w:val="30"/>
  </w:num>
  <w:num w:numId="12" w16cid:durableId="2121949591">
    <w:abstractNumId w:val="24"/>
  </w:num>
  <w:num w:numId="13" w16cid:durableId="1034161440">
    <w:abstractNumId w:val="14"/>
  </w:num>
  <w:num w:numId="14" w16cid:durableId="871721997">
    <w:abstractNumId w:val="23"/>
  </w:num>
  <w:num w:numId="15" w16cid:durableId="810707566">
    <w:abstractNumId w:val="18"/>
  </w:num>
  <w:num w:numId="16" w16cid:durableId="1989505228">
    <w:abstractNumId w:val="1"/>
  </w:num>
  <w:num w:numId="17" w16cid:durableId="1240022118">
    <w:abstractNumId w:val="22"/>
  </w:num>
  <w:num w:numId="18" w16cid:durableId="1828938125">
    <w:abstractNumId w:val="8"/>
  </w:num>
  <w:num w:numId="19" w16cid:durableId="514147598">
    <w:abstractNumId w:val="28"/>
  </w:num>
  <w:num w:numId="20" w16cid:durableId="1171144106">
    <w:abstractNumId w:val="26"/>
  </w:num>
  <w:num w:numId="21" w16cid:durableId="1098940135">
    <w:abstractNumId w:val="16"/>
  </w:num>
  <w:num w:numId="22" w16cid:durableId="90586790">
    <w:abstractNumId w:val="9"/>
  </w:num>
  <w:num w:numId="23" w16cid:durableId="925528651">
    <w:abstractNumId w:val="27"/>
  </w:num>
  <w:num w:numId="24" w16cid:durableId="2099935670">
    <w:abstractNumId w:val="4"/>
  </w:num>
  <w:num w:numId="25" w16cid:durableId="859856536">
    <w:abstractNumId w:val="11"/>
  </w:num>
  <w:num w:numId="26" w16cid:durableId="2121760483">
    <w:abstractNumId w:val="5"/>
  </w:num>
  <w:num w:numId="27" w16cid:durableId="1399209079">
    <w:abstractNumId w:val="25"/>
  </w:num>
  <w:num w:numId="28" w16cid:durableId="928466203">
    <w:abstractNumId w:val="19"/>
  </w:num>
  <w:num w:numId="29" w16cid:durableId="556548502">
    <w:abstractNumId w:val="20"/>
  </w:num>
  <w:num w:numId="30" w16cid:durableId="658272304">
    <w:abstractNumId w:val="10"/>
  </w:num>
  <w:num w:numId="31" w16cid:durableId="1301568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E91"/>
    <w:rsid w:val="00092BA0"/>
    <w:rsid w:val="00186A63"/>
    <w:rsid w:val="002176FF"/>
    <w:rsid w:val="003C0CF5"/>
    <w:rsid w:val="00434E91"/>
    <w:rsid w:val="004C4668"/>
    <w:rsid w:val="00553C4F"/>
    <w:rsid w:val="00587CCF"/>
    <w:rsid w:val="006774C9"/>
    <w:rsid w:val="00762E07"/>
    <w:rsid w:val="008979CC"/>
    <w:rsid w:val="008C04A8"/>
    <w:rsid w:val="008E0D6F"/>
    <w:rsid w:val="00A761F4"/>
    <w:rsid w:val="00C30FA5"/>
    <w:rsid w:val="00C70E0B"/>
    <w:rsid w:val="00D34F0D"/>
    <w:rsid w:val="00F35322"/>
    <w:rsid w:val="00F52472"/>
    <w:rsid w:val="00F9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B0C39"/>
  <w15:chartTrackingRefBased/>
  <w15:docId w15:val="{547719E7-788E-49AA-A722-17537674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92BA0"/>
    <w:pPr>
      <w:keepNext/>
      <w:keepLines/>
      <w:spacing w:before="480" w:after="0" w:line="276" w:lineRule="auto"/>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092BA0"/>
    <w:pPr>
      <w:keepNext/>
      <w:keepLines/>
      <w:spacing w:before="200" w:after="0" w:line="276" w:lineRule="auto"/>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uiPriority w:val="9"/>
    <w:semiHidden/>
    <w:unhideWhenUsed/>
    <w:qFormat/>
    <w:rsid w:val="00434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176FF"/>
    <w:pPr>
      <w:pBdr>
        <w:top w:val="none" w:sz="0" w:space="0" w:color="E5E7EB"/>
        <w:left w:val="none" w:sz="0" w:space="0" w:color="E5E7EB"/>
        <w:bottom w:val="none" w:sz="0" w:space="0" w:color="E5E7EB"/>
        <w:right w:val="none" w:sz="0" w:space="0" w:color="E5E7EB"/>
        <w:between w:val="none" w:sz="0" w:space="0" w:color="E5E7EB"/>
      </w:pBdr>
      <w:shd w:val="clear" w:color="auto" w:fill="D9D9D9" w:themeFill="background1" w:themeFillShade="D9"/>
      <w:spacing w:before="120" w:after="120" w:line="240" w:lineRule="auto"/>
      <w:ind w:left="562"/>
      <w:contextualSpacing/>
      <w:jc w:val="both"/>
    </w:pPr>
    <w:rPr>
      <w:rFonts w:ascii="Courier New" w:hAnsi="Courier New" w:cs="Courier New"/>
      <w:b/>
      <w:bCs/>
      <w:noProof/>
    </w:rPr>
  </w:style>
  <w:style w:type="character" w:customStyle="1" w:styleId="codeChar">
    <w:name w:val="code Char"/>
    <w:basedOn w:val="DefaultParagraphFont"/>
    <w:link w:val="code"/>
    <w:rsid w:val="002176FF"/>
    <w:rPr>
      <w:rFonts w:ascii="Courier New" w:hAnsi="Courier New" w:cs="Courier New"/>
      <w:b/>
      <w:bCs/>
      <w:noProof/>
      <w:shd w:val="clear" w:color="auto" w:fill="D9D9D9" w:themeFill="background1" w:themeFillShade="D9"/>
    </w:rPr>
  </w:style>
  <w:style w:type="character" w:customStyle="1" w:styleId="Heading2Char">
    <w:name w:val="Heading 2 Char"/>
    <w:basedOn w:val="DefaultParagraphFont"/>
    <w:link w:val="Heading2"/>
    <w:uiPriority w:val="9"/>
    <w:rsid w:val="00092BA0"/>
    <w:rPr>
      <w:rFonts w:ascii="Arial" w:eastAsiaTheme="majorEastAsia" w:hAnsi="Arial" w:cstheme="majorBidi"/>
      <w:b/>
      <w:bCs/>
      <w:color w:val="000000" w:themeColor="text1"/>
      <w:szCs w:val="26"/>
    </w:rPr>
  </w:style>
  <w:style w:type="character" w:customStyle="1" w:styleId="Heading1Char">
    <w:name w:val="Heading 1 Char"/>
    <w:basedOn w:val="DefaultParagraphFont"/>
    <w:link w:val="Heading1"/>
    <w:uiPriority w:val="9"/>
    <w:rsid w:val="00092BA0"/>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semiHidden/>
    <w:rsid w:val="00434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E91"/>
    <w:rPr>
      <w:rFonts w:eastAsiaTheme="majorEastAsia" w:cstheme="majorBidi"/>
      <w:color w:val="272727" w:themeColor="text1" w:themeTint="D8"/>
    </w:rPr>
  </w:style>
  <w:style w:type="paragraph" w:styleId="Title">
    <w:name w:val="Title"/>
    <w:basedOn w:val="Normal"/>
    <w:next w:val="Normal"/>
    <w:link w:val="TitleChar"/>
    <w:uiPriority w:val="10"/>
    <w:qFormat/>
    <w:rsid w:val="00434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E91"/>
    <w:pPr>
      <w:spacing w:before="160"/>
      <w:jc w:val="center"/>
    </w:pPr>
    <w:rPr>
      <w:i/>
      <w:iCs/>
      <w:color w:val="404040" w:themeColor="text1" w:themeTint="BF"/>
    </w:rPr>
  </w:style>
  <w:style w:type="character" w:customStyle="1" w:styleId="QuoteChar">
    <w:name w:val="Quote Char"/>
    <w:basedOn w:val="DefaultParagraphFont"/>
    <w:link w:val="Quote"/>
    <w:uiPriority w:val="29"/>
    <w:rsid w:val="00434E91"/>
    <w:rPr>
      <w:i/>
      <w:iCs/>
      <w:color w:val="404040" w:themeColor="text1" w:themeTint="BF"/>
    </w:rPr>
  </w:style>
  <w:style w:type="paragraph" w:styleId="ListParagraph">
    <w:name w:val="List Paragraph"/>
    <w:basedOn w:val="Normal"/>
    <w:uiPriority w:val="34"/>
    <w:qFormat/>
    <w:rsid w:val="00434E91"/>
    <w:pPr>
      <w:ind w:left="720"/>
      <w:contextualSpacing/>
    </w:pPr>
  </w:style>
  <w:style w:type="character" w:styleId="IntenseEmphasis">
    <w:name w:val="Intense Emphasis"/>
    <w:basedOn w:val="DefaultParagraphFont"/>
    <w:uiPriority w:val="21"/>
    <w:qFormat/>
    <w:rsid w:val="00434E91"/>
    <w:rPr>
      <w:i/>
      <w:iCs/>
      <w:color w:val="0F4761" w:themeColor="accent1" w:themeShade="BF"/>
    </w:rPr>
  </w:style>
  <w:style w:type="paragraph" w:styleId="IntenseQuote">
    <w:name w:val="Intense Quote"/>
    <w:basedOn w:val="Normal"/>
    <w:next w:val="Normal"/>
    <w:link w:val="IntenseQuoteChar"/>
    <w:uiPriority w:val="30"/>
    <w:qFormat/>
    <w:rsid w:val="00434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E91"/>
    <w:rPr>
      <w:i/>
      <w:iCs/>
      <w:color w:val="0F4761" w:themeColor="accent1" w:themeShade="BF"/>
    </w:rPr>
  </w:style>
  <w:style w:type="character" w:styleId="IntenseReference">
    <w:name w:val="Intense Reference"/>
    <w:basedOn w:val="DefaultParagraphFont"/>
    <w:uiPriority w:val="32"/>
    <w:qFormat/>
    <w:rsid w:val="00434E91"/>
    <w:rPr>
      <w:b/>
      <w:bCs/>
      <w:smallCaps/>
      <w:color w:val="0F4761" w:themeColor="accent1" w:themeShade="BF"/>
      <w:spacing w:val="5"/>
    </w:rPr>
  </w:style>
  <w:style w:type="table" w:styleId="TableGrid">
    <w:name w:val="Table Grid"/>
    <w:basedOn w:val="TableNormal"/>
    <w:uiPriority w:val="59"/>
    <w:rsid w:val="00A761F4"/>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7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4C9"/>
  </w:style>
  <w:style w:type="paragraph" w:styleId="Footer">
    <w:name w:val="footer"/>
    <w:basedOn w:val="Normal"/>
    <w:link w:val="FooterChar"/>
    <w:uiPriority w:val="99"/>
    <w:unhideWhenUsed/>
    <w:rsid w:val="00677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4C9"/>
  </w:style>
  <w:style w:type="paragraph" w:styleId="TOCHeading">
    <w:name w:val="TOC Heading"/>
    <w:basedOn w:val="Heading1"/>
    <w:next w:val="Normal"/>
    <w:uiPriority w:val="39"/>
    <w:unhideWhenUsed/>
    <w:qFormat/>
    <w:rsid w:val="00F35322"/>
    <w:pPr>
      <w:spacing w:before="240" w:line="259" w:lineRule="auto"/>
      <w:outlineLvl w:val="9"/>
    </w:pPr>
    <w:rPr>
      <w:rFonts w:asciiTheme="majorHAnsi" w:hAnsiTheme="majorHAns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F35322"/>
    <w:pPr>
      <w:spacing w:after="100"/>
    </w:pPr>
  </w:style>
  <w:style w:type="paragraph" w:styleId="TOC2">
    <w:name w:val="toc 2"/>
    <w:basedOn w:val="Normal"/>
    <w:next w:val="Normal"/>
    <w:autoRedefine/>
    <w:uiPriority w:val="39"/>
    <w:unhideWhenUsed/>
    <w:rsid w:val="00F35322"/>
    <w:pPr>
      <w:spacing w:after="100"/>
      <w:ind w:left="240"/>
    </w:pPr>
  </w:style>
  <w:style w:type="character" w:styleId="Hyperlink">
    <w:name w:val="Hyperlink"/>
    <w:basedOn w:val="DefaultParagraphFont"/>
    <w:uiPriority w:val="99"/>
    <w:unhideWhenUsed/>
    <w:rsid w:val="00F3532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097AD26E33ED4A90F7AE37A9938173" ma:contentTypeVersion="14" ma:contentTypeDescription="Create a new document." ma:contentTypeScope="" ma:versionID="0ae4e34e4150f205ae9ce688affa4c2d">
  <xsd:schema xmlns:xsd="http://www.w3.org/2001/XMLSchema" xmlns:xs="http://www.w3.org/2001/XMLSchema" xmlns:p="http://schemas.microsoft.com/office/2006/metadata/properties" xmlns:ns2="6c9a2e9e-0286-461d-a7c7-065a3b8fbe21" xmlns:ns3="277a6d73-b267-4c86-94b8-a5b22d65defd" targetNamespace="http://schemas.microsoft.com/office/2006/metadata/properties" ma:root="true" ma:fieldsID="06d7a6671e60c63e7e2dd3380388f4d9" ns2:_="" ns3:_="">
    <xsd:import namespace="6c9a2e9e-0286-461d-a7c7-065a3b8fbe21"/>
    <xsd:import namespace="277a6d73-b267-4c86-94b8-a5b22d65def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a2e9e-0286-461d-a7c7-065a3b8fb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243cab1-cfcc-4b39-9992-c6ea35bd18f3"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7a6d73-b267-4c86-94b8-a5b22d65def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c9a2e9e-0286-461d-a7c7-065a3b8fbe2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ECF7A3-6B8A-459B-AA25-301E8AD2941F}"/>
</file>

<file path=customXml/itemProps2.xml><?xml version="1.0" encoding="utf-8"?>
<ds:datastoreItem xmlns:ds="http://schemas.openxmlformats.org/officeDocument/2006/customXml" ds:itemID="{811F30E8-0A4B-44E0-B7B9-0EAE68923A72}"/>
</file>

<file path=customXml/itemProps3.xml><?xml version="1.0" encoding="utf-8"?>
<ds:datastoreItem xmlns:ds="http://schemas.openxmlformats.org/officeDocument/2006/customXml" ds:itemID="{9CEB0F73-21A3-4C1E-9696-E59752F8E5A4}"/>
</file>

<file path=docProps/app.xml><?xml version="1.0" encoding="utf-8"?>
<Properties xmlns="http://schemas.openxmlformats.org/officeDocument/2006/extended-properties" xmlns:vt="http://schemas.openxmlformats.org/officeDocument/2006/docPropsVTypes">
  <Template>Normal</Template>
  <TotalTime>3</TotalTime>
  <Pages>6</Pages>
  <Words>1053</Words>
  <Characters>7072</Characters>
  <Application>Microsoft Office Word</Application>
  <DocSecurity>0</DocSecurity>
  <Lines>307</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Farman</dc:creator>
  <cp:keywords/>
  <dc:description/>
  <cp:lastModifiedBy>Zainab Farman</cp:lastModifiedBy>
  <cp:revision>2</cp:revision>
  <dcterms:created xsi:type="dcterms:W3CDTF">2025-08-25T11:26:00Z</dcterms:created>
  <dcterms:modified xsi:type="dcterms:W3CDTF">2025-08-25T11:26:00Z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6de67cfb-a597-4c7a-ad8e-425e04ffa7d3</vt:lpwstr>
  </property>
  <property fmtid="{D5CDD505-2E9C-101B-9397-08002B2CF9AE}" pid="3" name="ContentTypeId">
    <vt:lpwstr>0x01010010097AD26E33ED4A90F7AE37A9938173</vt:lpwstr>
  </property>
</Properties>
</file>