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24"/>
          <w:szCs w:val="24"/>
        </w:rPr>
        <w:t xml:space="preserve">TrouveMoi — Plaisir &amp; Loisirs</w:t>
      </w:r>
    </w:p>
    <w:p>
      <w:pPr>
        <w:spacing w:after="260"/>
        <w:jc w:val="center"/>
      </w:pPr>
      <w:r>
        <w:rPr>
          <w:i/>
          <w:iCs/>
          <w:color w:val="555555"/>
          <w:sz w:val="22"/>
          <w:szCs w:val="22"/>
        </w:rPr>
        <w:t xml:space="preserve">Compte-rendu d'intervention</w:t>
      </w:r>
    </w:p>
    <w:p>
      <w:pPr>
        <w:spacing w:after="60"/>
      </w:pPr>
      <w:r>
        <w:rPr>
          <w:b/>
          <w:bCs/>
          <w:sz w:val="21"/>
          <w:szCs w:val="21"/>
        </w:rPr>
        <w:t xml:space="preserve">Date : </w:t>
      </w:r>
      <w:r>
        <w:rPr>
          <w:sz w:val="21"/>
          <w:szCs w:val="21"/>
        </w:rPr>
        <w:t xml:space="preserve">11 septembre 2026</w:t>
      </w:r>
    </w:p>
    <w:p>
      <w:pPr>
        <w:spacing w:after="60"/>
      </w:pPr>
      <w:r>
        <w:rPr>
          <w:b/>
          <w:bCs/>
          <w:sz w:val="21"/>
          <w:szCs w:val="21"/>
        </w:rPr>
        <w:t xml:space="preserve">Objet : </w:t>
      </w:r>
      <w:r>
        <w:rPr>
          <w:sz w:val="21"/>
          <w:szCs w:val="21"/>
        </w:rPr>
        <w:t xml:space="preserve">suite de l'audit du 7 septembre 2026 — corrections livrées et état d'avancement</w:t>
      </w:r>
    </w:p>
    <w:p>
      <w:pPr>
        <w:pBdr>
          <w:bottom w:val="single" w:color="999999" w:sz="6"/>
        </w:pBdr>
        <w:spacing w:after="60"/>
      </w:pPr>
      <w:r>
        <w:rPr>
          <w:b/>
          <w:bCs/>
          <w:sz w:val="21"/>
          <w:szCs w:val="21"/>
        </w:rPr>
        <w:t xml:space="preserve">Destinataire : </w:t>
      </w:r>
      <w:r>
        <w:rPr>
          <w:sz w:val="21"/>
          <w:szCs w:val="21"/>
        </w:rPr>
        <w:t xml:space="preserve">porteur du projet</w:t>
      </w:r>
    </w:p>
    <w:p>
      <w:pPr>
        <w:spacing w:after="160" w:before="320"/>
      </w:pPr>
      <w:r>
        <w:rPr>
          <w:b/>
          <w:bCs/>
          <w:color w:val="1F2A44"/>
          <w:sz w:val="26"/>
          <w:szCs w:val="26"/>
        </w:rPr>
        <w:t xml:space="preserve">1. Travaux réalisés</w:t>
      </w:r>
    </w:p>
    <w:p>
      <w:pPr>
        <w:spacing w:after="100" w:before="60"/>
      </w:pPr>
      <w:r>
        <w:rPr>
          <w:b/>
          <w:bCs/>
          <w:color w:val="1A1A1A"/>
          <w:sz w:val="22"/>
          <w:szCs w:val="22"/>
        </w:rPr>
        <w:t xml:space="preserve">Lot 0 — confirmation du périmètre du projet</w:t>
      </w:r>
    </w:p>
    <w:p>
      <w:pPr>
        <w:spacing w:after="200" w:line="300"/>
      </w:pPr>
      <w:r>
        <w:rPr>
          <w:color w:val="1A1A1A"/>
          <w:sz w:val="22"/>
          <w:szCs w:val="22"/>
        </w:rPr>
        <w:t xml:space="preserve">Le cahier des charges (version 1.0 du 3 septembre 2026) est confirmé comme référence du projet : mise en relation entre particuliers et professionnels par demande et proposition, et activités privées entre particuliers, avec une monétisation portée uniquement par les abonnements professionnels. Le catalogue à réservation directe hérité de la version antérieure du projet, qui ne correspond pas à ce périmètre, est mis en pause au profit de ce cadrage.</w:t>
      </w:r>
    </w:p>
    <w:p>
      <w:pPr>
        <w:spacing w:after="100" w:before="60"/>
      </w:pPr>
      <w:r>
        <w:rPr>
          <w:b/>
          <w:bCs/>
          <w:color w:val="1A1A1A"/>
          <w:sz w:val="22"/>
          <w:szCs w:val="22"/>
        </w:rPr>
        <w:t xml:space="preserve">Audit complet de l'application</w:t>
      </w:r>
    </w:p>
    <w:p>
      <w:pPr>
        <w:spacing w:after="200" w:line="300"/>
      </w:pPr>
      <w:r>
        <w:rPr>
          <w:color w:val="1A1A1A"/>
          <w:sz w:val="22"/>
          <w:szCs w:val="22"/>
        </w:rPr>
        <w:t xml:space="preserve">Un audit complet de l'application a été réalisé : relecture du cahier des charges du 3 septembre 2026, confrontation avec l'application telle qu'elle fonctionne aujourd'hui, exécution de l'ensemble des tests automatisés et navigation manuelle du site. Cet audit a été restitué dans le rapport du 7 septembre 2026, qui a servi de base pour prioriser les corrections ci-dessous.</w:t>
      </w:r>
    </w:p>
    <w:p>
      <w:pPr>
        <w:spacing w:after="100" w:before="60"/>
      </w:pPr>
      <w:r>
        <w:rPr>
          <w:b/>
          <w:bCs/>
          <w:color w:val="1A1A1A"/>
          <w:sz w:val="22"/>
          <w:szCs w:val="22"/>
        </w:rPr>
        <w:t xml:space="preserve">Lot B — correction de la publication des textes juridiques</w:t>
      </w:r>
    </w:p>
    <w:p>
      <w:pPr>
        <w:spacing w:after="200" w:line="300"/>
      </w:pPr>
      <w:r>
        <w:rPr>
          <w:color w:val="1A1A1A"/>
          <w:sz w:val="22"/>
          <w:szCs w:val="22"/>
        </w:rPr>
        <w:t xml:space="preserve">Le rapport du 7 septembre (chapitre 6) signalait un point bloquant : un texte publié depuis l'espace d'administration (conditions générales, politique de cookies, etc.) ne s'affichait pas de façon fiable sur le site public. La cause, un décalage dans la comparaison des dates de publication, a été identifiée et corrigée. Ce point est désormais résolu et vérifié.</w:t>
      </w:r>
    </w:p>
    <w:p>
      <w:pPr>
        <w:spacing w:after="100" w:before="60"/>
      </w:pPr>
      <w:r>
        <w:rPr>
          <w:b/>
          <w:bCs/>
          <w:color w:val="1A1A1A"/>
          <w:sz w:val="22"/>
          <w:szCs w:val="22"/>
        </w:rPr>
        <w:t xml:space="preserve">Correction de l'affichage de l'espace d'administration</w:t>
      </w:r>
    </w:p>
    <w:p>
      <w:pPr>
        <w:spacing w:after="200" w:line="300"/>
      </w:pPr>
      <w:r>
        <w:rPr>
          <w:color w:val="1A1A1A"/>
          <w:sz w:val="22"/>
          <w:szCs w:val="22"/>
        </w:rPr>
        <w:t xml:space="preserve">Une page de l'espace d'administration (EasyAdmin) ne s'affichait pas correctement à cause d'un problème de redirection, ce qui rendait l'écran inutilisable pour la recette. Ce dysfonctionnement, distinct du bug de publication ci-dessus, a également été corrigé.</w:t>
      </w:r>
    </w:p>
    <w:p>
      <w:pPr>
        <w:spacing w:after="100" w:before="60"/>
      </w:pPr>
      <w:r>
        <w:rPr>
          <w:b/>
          <w:bCs/>
          <w:color w:val="1A1A1A"/>
          <w:sz w:val="22"/>
          <w:szCs w:val="22"/>
        </w:rPr>
        <w:t xml:space="preserve">Refonte du formulaire de création des textes juridiques</w:t>
      </w:r>
    </w:p>
    <w:p>
      <w:pPr>
        <w:spacing w:after="200" w:line="300"/>
      </w:pPr>
      <w:r>
        <w:rPr>
          <w:color w:val="1A1A1A"/>
          <w:sz w:val="22"/>
          <w:szCs w:val="22"/>
        </w:rPr>
        <w:t xml:space="preserve">Le formulaire de saisie des textes juridiques a été repris en profondeur : le contenu saisi (titres, paragraphes) pouvait disparaître à l'enregistrement à cause d'un filtre de sécurité trop strict. L'éditeur a été reconfiguré pour que tout le contenu saisi soit conservé correctement.</w:t>
      </w:r>
    </w:p>
    <w:p>
      <w:pPr>
        <w:spacing w:after="200" w:line="300"/>
      </w:pPr>
      <w:r>
        <w:rPr>
          <w:color w:val="1A1A1A"/>
          <w:sz w:val="22"/>
          <w:szCs w:val="22"/>
        </w:rPr>
        <w:t xml:space="preserve">Chaque correction a été testée et vérifiée avant validation : l'ensemble de la suite de tests automatisés passe désormais sans échec, et deux textes juridiques (politique de cookies, conditions générales d'utilisation) ont été publiés puis contrôlés directement sur le site.</w:t>
      </w:r>
    </w:p>
    <w:p>
      <w:pPr>
        <w:spacing w:after="160" w:before="320"/>
      </w:pPr>
      <w:r>
        <w:rPr>
          <w:b/>
          <w:bCs/>
          <w:color w:val="1F2A44"/>
          <w:sz w:val="26"/>
          <w:szCs w:val="26"/>
        </w:rPr>
        <w:t xml:space="preserve">2. Ce qui reste à faire</w:t>
      </w:r>
    </w:p>
    <w:p>
      <w:pPr>
        <w:spacing w:after="200" w:line="300"/>
      </w:pPr>
      <w:r>
        <w:rPr>
          <w:color w:val="1A1A1A"/>
          <w:sz w:val="22"/>
          <w:szCs w:val="22"/>
        </w:rPr>
        <w:t xml:space="preserve">Le périmètre étant désormais confirmé (Lot 0 ci-dessus), les chantiers suivants, déjà identifiés dans le rapport du 7 septembre, restent à mener :</w:t>
      </w:r>
    </w:p>
    <w:p>
      <w:pPr>
        <w:pStyle w:val="ListParagraph"/>
        <w:numPr>
          <w:ilvl w:val="0"/>
          <w:numId w:val="1"/>
        </w:numPr>
        <w:spacing w:after="140" w:line="300"/>
      </w:pPr>
      <w:r>
        <w:rPr>
          <w:color w:val="1A1A1A"/>
          <w:sz w:val="22"/>
          <w:szCs w:val="22"/>
        </w:rPr>
        <w:t xml:space="preserve">Mise en place d'un envoi d'e-mails réel (inscription, mot de passe oublié, notifications)</w:t>
      </w:r>
    </w:p>
    <w:p>
      <w:pPr>
        <w:pStyle w:val="ListParagraph"/>
        <w:numPr>
          <w:ilvl w:val="0"/>
          <w:numId w:val="1"/>
        </w:numPr>
        <w:spacing w:after="140" w:line="300"/>
      </w:pPr>
      <w:r>
        <w:rPr>
          <w:color w:val="1A1A1A"/>
          <w:sz w:val="22"/>
          <w:szCs w:val="22"/>
        </w:rPr>
        <w:t xml:space="preserve">Recherche de professionnels et parcours de demandes / propositions</w:t>
      </w:r>
    </w:p>
    <w:p>
      <w:pPr>
        <w:pStyle w:val="ListParagraph"/>
        <w:numPr>
          <w:ilvl w:val="0"/>
          <w:numId w:val="1"/>
        </w:numPr>
        <w:spacing w:after="140" w:line="300"/>
      </w:pPr>
      <w:r>
        <w:rPr>
          <w:color w:val="1A1A1A"/>
          <w:sz w:val="22"/>
          <w:szCs w:val="22"/>
        </w:rPr>
        <w:t xml:space="preserve">Activités privées entre particuliers</w:t>
      </w:r>
    </w:p>
    <w:p>
      <w:pPr>
        <w:pStyle w:val="ListParagraph"/>
        <w:numPr>
          <w:ilvl w:val="0"/>
          <w:numId w:val="1"/>
        </w:numPr>
        <w:spacing w:after="140" w:line="300"/>
      </w:pPr>
      <w:r>
        <w:rPr>
          <w:color w:val="1A1A1A"/>
          <w:sz w:val="22"/>
          <w:szCs w:val="22"/>
        </w:rPr>
        <w:t xml:space="preserve">Abonnements professionnels et paiement Stripe en conditions réelles</w:t>
      </w:r>
    </w:p>
    <w:p>
      <w:pPr>
        <w:pStyle w:val="ListParagraph"/>
        <w:numPr>
          <w:ilvl w:val="0"/>
          <w:numId w:val="1"/>
        </w:numPr>
        <w:spacing w:after="140" w:line="300"/>
      </w:pPr>
      <w:r>
        <w:rPr>
          <w:color w:val="1A1A1A"/>
          <w:sz w:val="22"/>
          <w:szCs w:val="22"/>
        </w:rPr>
        <w:t xml:space="preserve">Signalements, modération et journal des actions d'administration</w:t>
      </w:r>
    </w:p>
    <w:p>
      <w:pPr>
        <w:pStyle w:val="ListParagraph"/>
        <w:numPr>
          <w:ilvl w:val="0"/>
          <w:numId w:val="1"/>
        </w:numPr>
        <w:spacing w:after="140" w:line="300"/>
      </w:pPr>
      <w:r>
        <w:rPr>
          <w:color w:val="1A1A1A"/>
          <w:sz w:val="22"/>
          <w:szCs w:val="22"/>
        </w:rPr>
        <w:t xml:space="preserve">Espace professionnel complet (profil public, tableau de bord, messagerie, avis)</w:t>
      </w:r>
    </w:p>
    <w:p>
      <w:pPr>
        <w:pStyle w:val="ListParagraph"/>
        <w:numPr>
          <w:ilvl w:val="0"/>
          <w:numId w:val="1"/>
        </w:numPr>
        <w:spacing w:after="140" w:line="300"/>
      </w:pPr>
      <w:r>
        <w:rPr>
          <w:color w:val="1A1A1A"/>
          <w:sz w:val="22"/>
          <w:szCs w:val="22"/>
        </w:rPr>
        <w:t xml:space="preserve">Espace client complet (remplacement des données de démonstration, photo de profil, vérification d'e-mail)</w:t>
      </w:r>
    </w:p>
    <w:p>
      <w:pPr>
        <w:spacing w:after="200" w:line="300"/>
      </w:pPr>
      <w:r>
        <w:rPr>
          <w:color w:val="1A1A1A"/>
          <w:sz w:val="22"/>
          <w:szCs w:val="22"/>
        </w:rPr>
        <w:t xml:space="preserve">Trois textes juridiques restent par ailleurs à publier (mentions légales, conditions générales de vente, politique de confidentialité) ; leur contenu est prêt et leur publication ne présente pas de difficulté technique particulière.</w:t>
      </w:r>
    </w:p>
    <w:p>
      <w:pPr>
        <w:pBdr>
          <w:top w:val="single" w:color="CCCCCC" w:sz="4"/>
        </w:pBdr>
        <w:spacing w:before="300"/>
      </w:pPr>
      <w:r>
        <w:rPr>
          <w:i/>
          <w:iCs/>
          <w:color w:val="555555"/>
          <w:sz w:val="18"/>
          <w:szCs w:val="18"/>
        </w:rPr>
        <w:t xml:space="preserve">Document établi le 11 septembre 2026, à la suite du rapport d'avancement du 7 septembre 2026.</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2026-09-11T18:02:26.801Z</dcterms:created>
  <dcterms:modified xsi:type="dcterms:W3CDTF">2026-09-11T18:02:26.802Z</dcterms:modified>
</cp:coreProperties>
</file>

<file path=docProps/custom.xml><?xml version="1.0" encoding="utf-8"?>
<Properties xmlns="http://schemas.openxmlformats.org/officeDocument/2006/custom-properties" xmlns:vt="http://schemas.openxmlformats.org/officeDocument/2006/docPropsVTypes"/>
</file>