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TrouveMoi — Plaisir &amp; Loisirs</w:t>
      </w:r>
    </w:p>
    <w:p>
      <w:pPr>
        <w:spacing w:after="240"/>
        <w:jc w:val="center"/>
      </w:pPr>
      <w:r>
        <w:rPr>
          <w:i/>
          <w:iCs/>
          <w:color w:val="222222"/>
          <w:sz w:val="24"/>
          <w:szCs w:val="24"/>
        </w:rPr>
        <w:t xml:space="preserve">Compte-rendu d'intervention</w:t>
      </w:r>
    </w:p>
    <w:p>
      <w:pPr>
        <w:spacing w:after="40"/>
      </w:pPr>
      <w:r>
        <w:rPr>
          <w:b/>
          <w:bCs/>
          <w:sz w:val="22"/>
          <w:szCs w:val="22"/>
        </w:rPr>
        <w:t xml:space="preserve">Date : </w:t>
      </w:r>
      <w:r>
        <w:rPr>
          <w:sz w:val="22"/>
          <w:szCs w:val="22"/>
        </w:rPr>
        <w:t xml:space="preserve">14 septembre 2026</w:t>
      </w:r>
    </w:p>
    <w:p>
      <w:pPr>
        <w:spacing w:after="40"/>
      </w:pPr>
      <w:r>
        <w:rPr>
          <w:b/>
          <w:bCs/>
          <w:sz w:val="22"/>
          <w:szCs w:val="22"/>
        </w:rPr>
        <w:t xml:space="preserve">Objet : </w:t>
      </w:r>
      <w:r>
        <w:rPr>
          <w:sz w:val="22"/>
          <w:szCs w:val="22"/>
        </w:rPr>
        <w:t xml:space="preserve">suite du compte-rendu du 11 septembre 2026 — lots livrés et cohérence des espaces compte</w:t>
      </w:r>
    </w:p>
    <w:p>
      <w:pPr>
        <w:spacing w:after="40"/>
      </w:pPr>
      <w:r>
        <w:rPr>
          <w:b/>
          <w:bCs/>
          <w:sz w:val="22"/>
          <w:szCs w:val="22"/>
        </w:rPr>
        <w:t xml:space="preserve">Destinataire : </w:t>
      </w:r>
      <w:r>
        <w:rPr>
          <w:sz w:val="22"/>
          <w:szCs w:val="22"/>
        </w:rPr>
        <w:t xml:space="preserve">porteur du projet</w:t>
      </w:r>
    </w:p>
    <w:p>
      <w:pPr>
        <w:pBdr>
          <w:bottom w:val="single" w:color="AAAAAA" w:sz="6"/>
        </w:pBdr>
        <w:spacing w:after="240" w:before="120"/>
      </w:pPr>
    </w:p>
    <w:p>
      <w:pPr>
        <w:pStyle w:val="Heading1"/>
        <w:spacing w:after="140" w:before="280"/>
      </w:pPr>
      <w:r>
        <w:rPr>
          <w:b/>
          <w:bCs/>
          <w:color w:val="1F3864"/>
          <w:sz w:val="26"/>
          <w:szCs w:val="26"/>
        </w:rPr>
        <w:t xml:space="preserve">1. Travaux réalisés</w:t>
      </w:r>
    </w:p>
    <w:p>
      <w:pPr>
        <w:spacing w:after="60" w:before="200"/>
      </w:pPr>
      <w:r>
        <w:rPr>
          <w:b/>
          <w:bCs/>
          <w:color w:val="222222"/>
          <w:sz w:val="22"/>
          <w:szCs w:val="22"/>
        </w:rPr>
        <w:t xml:space="preserve">Arbitrage du modèle de plateforme — confirmé</w:t>
      </w:r>
    </w:p>
    <w:p>
      <w:pPr>
        <w:spacing w:after="160"/>
        <w:jc w:val="both"/>
      </w:pPr>
      <w:r>
        <w:rPr>
          <w:sz w:val="22"/>
          <w:szCs w:val="22"/>
        </w:rPr>
        <w:t xml:space="preserve">Le point resté en attente de votre confirmation à l'issue du compte-rendu du 11 septembre — le cahier des charges du 3 septembre 2026 comme référence du projet, catalogue à réservation directe mis en pause — a été validé. L'ensemble des travaux ci-dessous a été mené dans ce cadre confirmé, dans l'ordre de priorité que vous avez indiqué.</w:t>
      </w:r>
    </w:p>
    <w:p>
      <w:pPr>
        <w:spacing w:after="60" w:before="200"/>
      </w:pPr>
      <w:r>
        <w:rPr>
          <w:b/>
          <w:bCs/>
          <w:color w:val="222222"/>
          <w:sz w:val="22"/>
          <w:szCs w:val="22"/>
        </w:rPr>
        <w:t xml:space="preserve">Trois derniers textes juridiques publiés</w:t>
      </w:r>
    </w:p>
    <w:p>
      <w:pPr>
        <w:spacing w:after="160"/>
        <w:jc w:val="both"/>
      </w:pPr>
      <w:r>
        <w:rPr>
          <w:sz w:val="22"/>
          <w:szCs w:val="22"/>
        </w:rPr>
        <w:t xml:space="preserve">Les mentions légales, les conditions générales de vente et la politique de confidentialité, dont le contenu était prêt depuis le 11 septembre, ont été publiées et vérifiées sur le site public. Les cinq textes juridiques attendus par le cahier des charges sont désormais tous en ligne.</w:t>
      </w:r>
    </w:p>
    <w:p>
      <w:pPr>
        <w:spacing w:after="60" w:before="200"/>
      </w:pPr>
      <w:r>
        <w:rPr>
          <w:b/>
          <w:bCs/>
          <w:color w:val="222222"/>
          <w:sz w:val="22"/>
          <w:szCs w:val="22"/>
        </w:rPr>
        <w:t xml:space="preserve">Authentification : les deux points signalés ont été vérifiés</w:t>
      </w:r>
    </w:p>
    <w:p>
      <w:pPr>
        <w:spacing w:after="160"/>
        <w:jc w:val="both"/>
      </w:pPr>
      <w:r>
        <w:rPr>
          <w:sz w:val="22"/>
          <w:szCs w:val="22"/>
        </w:rPr>
        <w:t xml:space="preserve">L'absence apparente de vérification lors d'une demande de réinitialisation de mot de passe sur une adresse inconnue, et l'absence de message d'erreur explicite lors d'une inscription avec un e-mail déjà utilisé, avaient été signalées en cours de recette. Après analyse : l'inscription affiche bien un message explicite pour un e-mail déjà utilisé (comportement déjà correct, mais non couvert par un test) ; la réinitialisation de mot de passe, elle, redirige volontairement vers la même page quelle que soit l'adresse saisie, sans révéler si un compte existe — c'est une pratique de sécurité standard destinée à empêcher un tiers de découvrir quels e-mails sont inscrits sur le site. Les deux comportements sont désormais couverts par une suite de tests dédiée, pour rester garantis dans la durée.</w:t>
      </w:r>
    </w:p>
    <w:p>
      <w:pPr>
        <w:spacing w:after="60" w:before="200"/>
      </w:pPr>
      <w:r>
        <w:rPr>
          <w:b/>
          <w:bCs/>
          <w:color w:val="222222"/>
          <w:sz w:val="22"/>
          <w:szCs w:val="22"/>
        </w:rPr>
        <w:t xml:space="preserve">Envoi d'e-mails réel en local, et procédure pour la production</w:t>
      </w:r>
    </w:p>
    <w:p>
      <w:pPr>
        <w:spacing w:after="160"/>
        <w:jc w:val="both"/>
      </w:pPr>
      <w:r>
        <w:rPr>
          <w:sz w:val="22"/>
          <w:szCs w:val="22"/>
        </w:rPr>
        <w:t xml:space="preserve">Un outil de réception d'e-mails a été mis en place pour l'environnement de développement, afin de vérifier concrètement le contenu des e-mails (inscription, mot de passe oublié, notifications) avant leur mise en production. La cause d'une absence d'e-mails observée en test a été identifiée : l'envoi repose sur une file d'attente technique, qui doit être traitée en continu par un processus dédié — ce processus n'était pas démarré. La procédure de mise en service de ce processus en production a été documentée.</w:t>
      </w:r>
    </w:p>
    <w:p>
      <w:pPr>
        <w:spacing w:after="60" w:before="200"/>
      </w:pPr>
      <w:r>
        <w:rPr>
          <w:b/>
          <w:bCs/>
          <w:color w:val="222222"/>
          <w:sz w:val="22"/>
          <w:szCs w:val="22"/>
        </w:rPr>
        <w:t xml:space="preserve">Recherche de professionnels et parcours de demande / devis</w:t>
      </w:r>
    </w:p>
    <w:p>
      <w:pPr>
        <w:spacing w:after="160"/>
        <w:jc w:val="both"/>
      </w:pPr>
      <w:r>
        <w:rPr>
          <w:sz w:val="22"/>
          <w:szCs w:val="22"/>
        </w:rPr>
        <w:t xml:space="preserve">Un client peut désormais rechercher un professionnel par métier et consulter sa fiche publique, y déposer une demande de devis, puis suivre les propositions reçues, en accepter une (ce qui referme automatiquement les autres) ou les refuser. Côté professionnel, un espace dédié liste les demandes ouvertes dans son métier et permet d'y répondre par un devis chiffré.</w:t>
      </w:r>
    </w:p>
    <w:p>
      <w:pPr>
        <w:spacing w:after="60" w:before="200"/>
      </w:pPr>
      <w:r>
        <w:rPr>
          <w:b/>
          <w:bCs/>
          <w:color w:val="222222"/>
          <w:sz w:val="22"/>
          <w:szCs w:val="22"/>
        </w:rPr>
        <w:t xml:space="preserve">Activités privées entre particuliers</w:t>
      </w:r>
    </w:p>
    <w:p>
      <w:pPr>
        <w:spacing w:after="160"/>
        <w:jc w:val="both"/>
      </w:pPr>
      <w:r>
        <w:rPr>
          <w:sz w:val="22"/>
          <w:szCs w:val="22"/>
        </w:rPr>
        <w:t xml:space="preserve">Le parcours complet prévu par le cahier des charges a été construit : publication d'une activité privée (gratuite, entre particuliers), demande de participation, validation ou refus par l'organisateur, liste d'attente automatique une fois la capacité atteinte, et promotion du premier inscrit en liste d'attente en cas de désistement.</w:t>
      </w:r>
    </w:p>
    <w:p>
      <w:pPr>
        <w:spacing w:after="60" w:before="200"/>
      </w:pPr>
      <w:r>
        <w:rPr>
          <w:b/>
          <w:bCs/>
          <w:color w:val="222222"/>
          <w:sz w:val="22"/>
          <w:szCs w:val="22"/>
        </w:rPr>
        <w:t xml:space="preserve">Abonnements professionnels</w:t>
      </w:r>
    </w:p>
    <w:p>
      <w:pPr>
        <w:spacing w:after="160"/>
        <w:jc w:val="both"/>
      </w:pPr>
      <w:r>
        <w:rPr>
          <w:sz w:val="22"/>
          <w:szCs w:val="22"/>
        </w:rPr>
        <w:t xml:space="preserve">Un professionnel peut désormais consulter les offres d'abonnement, souscrire, suivre l'état de son abonnement (actif, en retard de paiement, résilié) et le résilier. Le paiement transite par un simulateur qui reproduit le comportement de Stripe (parcours, montants, statuts) : la bascule vers de vraies clés de paiement Stripe, une fois obtenues, ne demande pas de nouveau développement, seulement leur activation.</w:t>
      </w:r>
    </w:p>
    <w:p>
      <w:pPr>
        <w:spacing w:after="60" w:before="200"/>
      </w:pPr>
      <w:r>
        <w:rPr>
          <w:b/>
          <w:bCs/>
          <w:color w:val="222222"/>
          <w:sz w:val="22"/>
          <w:szCs w:val="22"/>
        </w:rPr>
        <w:t xml:space="preserve">Signalements, modération et journal des actions d'administration</w:t>
      </w:r>
    </w:p>
    <w:p>
      <w:pPr>
        <w:spacing w:after="160"/>
        <w:jc w:val="both"/>
      </w:pPr>
      <w:r>
        <w:rPr>
          <w:sz w:val="22"/>
          <w:szCs w:val="22"/>
        </w:rPr>
        <w:t xml:space="preserve">Les visiteurs peuvent désormais signaler un contenu (annonce, avis…) avec un motif ; l'équipe de modération dispose d'un écran dédié pour traiter ces signalements. Un journal consigne les actions sensibles effectuées depuis l'espace d'administration, consultable en lecture seule, pour la traçabilité demandée par le cahier des charges.</w:t>
      </w:r>
    </w:p>
    <w:p>
      <w:pPr>
        <w:spacing w:after="60" w:before="200"/>
      </w:pPr>
      <w:r>
        <w:rPr>
          <w:b/>
          <w:bCs/>
          <w:color w:val="222222"/>
          <w:sz w:val="22"/>
          <w:szCs w:val="22"/>
        </w:rPr>
        <w:t xml:space="preserve">Espace professionnel : un tableau de bord réel</w:t>
      </w:r>
    </w:p>
    <w:p>
      <w:pPr>
        <w:spacing w:after="160"/>
        <w:jc w:val="both"/>
      </w:pPr>
      <w:r>
        <w:rPr>
          <w:sz w:val="22"/>
          <w:szCs w:val="22"/>
        </w:rPr>
        <w:t xml:space="preserve">Un professionnel connecté dispose maintenant d'un tableau de bord qui réunit en un seul endroit ses demandes ouvertes, ses devis envoyés et son abonnement, ainsi qu'un écran pour modifier lui-même sa fiche publique (nom, présentation, coordonnées, réseaux sociaux) sans passer par l'administration.</w:t>
      </w:r>
    </w:p>
    <w:p>
      <w:pPr>
        <w:spacing w:after="60" w:before="200"/>
      </w:pPr>
      <w:r>
        <w:rPr>
          <w:b/>
          <w:bCs/>
          <w:color w:val="222222"/>
          <w:sz w:val="22"/>
          <w:szCs w:val="22"/>
        </w:rPr>
        <w:t xml:space="preserve">Cohérence entre l'espace client et l'espace professionnel</w:t>
      </w:r>
    </w:p>
    <w:p>
      <w:pPr>
        <w:spacing w:after="160"/>
        <w:jc w:val="both"/>
      </w:pPr>
      <w:r>
        <w:rPr>
          <w:sz w:val="22"/>
          <w:szCs w:val="22"/>
        </w:rPr>
        <w:t xml:space="preserve">Un test en conditions réelles a révélé que les écrans professionnels ajoutés au point précédent formaient une interface visuellement à part, sans rapport avec l'espace « Mon compte » déjà existant côté client — au point qu'un menu « Tableau de bord » présent depuis le début dans cet espace ne menait nulle part. La correction rapproche les deux : le professionnel retrouve désormais ses écrans (tableau de bord, demandes reçues, abonnement, fiche professionnelle) dans la même présentation que l'espace client (même en-tête, même menu latéral), sans changer d'interface d'un écran à l'autre.</w:t>
      </w:r>
    </w:p>
    <w:p>
      <w:pPr>
        <w:spacing w:after="160"/>
        <w:jc w:val="both"/>
      </w:pPr>
      <w:r>
        <w:rPr>
          <w:sz w:val="22"/>
          <w:szCs w:val="22"/>
        </w:rPr>
        <w:t xml:space="preserve">Le même contrôle a montré que l'espace client souffrait du même défaut sur son propre menu « Tableau de bord », resté sans destination depuis l'origine du projet : l'avatar du site y menait sous l'intitulé « Profil », mais ouvrait en réalité l'écran des favoris. Un tableau de bord réel a été construit pour l'espace client, réunissant ses demandes de devis, ses activités privées et ses favoris. Les rubriques du menu qui n'ont encore aucun écran dédié (albums photos, activités créées, réservations, paramètres du compte) l'indiquent désormais clairement plutôt que de rester des liens sans effet.</w:t>
      </w:r>
    </w:p>
    <w:p>
      <w:pPr>
        <w:spacing w:after="160"/>
        <w:jc w:val="both"/>
      </w:pPr>
      <w:r>
        <w:rPr>
          <w:sz w:val="22"/>
          <w:szCs w:val="22"/>
        </w:rPr>
        <w:t xml:space="preserve">Chaque livraison ci-dessus a été vérifiée avant validation : la suite de tests automatisés du projet (558 tests) passe sans échec, et les parcours ont été rejoués manuellement sur le site.</w:t>
      </w:r>
    </w:p>
    <w:p>
      <w:pPr>
        <w:pStyle w:val="Heading1"/>
        <w:spacing w:after="140" w:before="280"/>
      </w:pPr>
      <w:r>
        <w:rPr>
          <w:b/>
          <w:bCs/>
          <w:color w:val="1F3864"/>
          <w:sz w:val="26"/>
          <w:szCs w:val="26"/>
        </w:rPr>
        <w:t xml:space="preserve">2. Ce qui reste à faire</w:t>
      </w:r>
    </w:p>
    <w:p>
      <w:pPr>
        <w:spacing w:after="160"/>
        <w:jc w:val="both"/>
      </w:pPr>
      <w:r>
        <w:rPr>
          <w:sz w:val="22"/>
          <w:szCs w:val="22"/>
        </w:rPr>
        <w:t xml:space="preserve">Les chantiers suivants, déjà identifiés dans les comptes-rendus précédents, restent à mener :</w:t>
      </w:r>
    </w:p>
    <w:p>
      <w:pPr>
        <w:pStyle w:val="ListParagraph"/>
        <w:numPr>
          <w:ilvl w:val="0"/>
          <w:numId w:val="1"/>
        </w:numPr>
        <w:spacing w:after="80"/>
      </w:pPr>
      <w:r>
        <w:rPr>
          <w:sz w:val="22"/>
          <w:szCs w:val="22"/>
        </w:rPr>
        <w:t xml:space="preserve">Messagerie entre client et professionnel, prévue par le cahier des charges (§14) — aucun écran n'existe encore pour ce point.</w:t>
      </w:r>
    </w:p>
    <w:p>
      <w:pPr>
        <w:pStyle w:val="ListParagraph"/>
        <w:numPr>
          <w:ilvl w:val="0"/>
          <w:numId w:val="1"/>
        </w:numPr>
        <w:spacing w:after="80"/>
      </w:pPr>
      <w:r>
        <w:rPr>
          <w:sz w:val="22"/>
          <w:szCs w:val="22"/>
        </w:rPr>
        <w:t xml:space="preserve">Avis et notation des professionnels (§16.2) : la fonctionnalité existe côté technique mais reste raccordée à l'ancien catalogue à réservation directe, mis en pause par l'arbitrage du 11 septembre ; elle doit être reliée au nouveau modèle de demande / devis avant de pouvoir être proposée aux clients.</w:t>
      </w:r>
    </w:p>
    <w:p>
      <w:pPr>
        <w:pStyle w:val="ListParagraph"/>
        <w:numPr>
          <w:ilvl w:val="0"/>
          <w:numId w:val="1"/>
        </w:numPr>
        <w:spacing w:after="80"/>
      </w:pPr>
      <w:r>
        <w:rPr>
          <w:sz w:val="22"/>
          <w:szCs w:val="22"/>
        </w:rPr>
        <w:t xml:space="preserve">Espace client : les rubriques encore sans écran dédié — albums photos, activités que le client a lui-même créées, historique de réservations.</w:t>
      </w:r>
    </w:p>
    <w:p>
      <w:pPr>
        <w:pStyle w:val="ListParagraph"/>
        <w:numPr>
          <w:ilvl w:val="0"/>
          <w:numId w:val="1"/>
        </w:numPr>
        <w:spacing w:after="80"/>
      </w:pPr>
      <w:r>
        <w:rPr>
          <w:sz w:val="22"/>
          <w:szCs w:val="22"/>
        </w:rPr>
        <w:t xml:space="preserve">Paiement des abonnements professionnels en conditions réelles, une fois les clés de production Stripe transmises.</w:t>
      </w:r>
    </w:p>
    <w:p>
      <w:pPr>
        <w:pStyle w:val="ListParagraph"/>
        <w:numPr>
          <w:ilvl w:val="0"/>
          <w:numId w:val="1"/>
        </w:numPr>
        <w:spacing w:after="80"/>
      </w:pPr>
      <w:r>
        <w:rPr>
          <w:sz w:val="22"/>
          <w:szCs w:val="22"/>
        </w:rPr>
        <w:t xml:space="preserve">Domaine « Événements / Groupes » : le parcours de création existe à l'écran mais ne s'appuie pas encore sur de vraies données enregistrées.</w:t>
      </w:r>
    </w:p>
    <w:p>
      <w:pPr>
        <w:pStyle w:val="ListParagraph"/>
        <w:numPr>
          <w:ilvl w:val="0"/>
          <w:numId w:val="1"/>
        </w:numPr>
        <w:spacing w:after="80"/>
      </w:pPr>
      <w:r>
        <w:rPr>
          <w:sz w:val="22"/>
          <w:szCs w:val="22"/>
        </w:rPr>
        <w:t xml:space="preserve">Photo de profil client, et vérification de l'adresse e-mail à l'inscription.</w:t>
      </w:r>
    </w:p>
    <w:p>
      <w:pPr>
        <w:pBdr>
          <w:top w:val="single" w:color="AAAAAA" w:sz="6"/>
        </w:pBdr>
        <w:spacing w:before="320"/>
      </w:pPr>
      <w:r>
        <w:rPr>
          <w:i/>
          <w:iCs/>
          <w:color w:val="555555"/>
          <w:sz w:val="20"/>
          <w:szCs w:val="20"/>
        </w:rPr>
        <w:t xml:space="preserve">Document établi le 14 septembre 2026, à la suite du compte-rendu d'intervention du 11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2026-09-14T18:46:47.439Z</dcterms:created>
  <dcterms:modified xsi:type="dcterms:W3CDTF">2026-09-14T18:46:47.439Z</dcterms:modified>
</cp:coreProperties>
</file>

<file path=docProps/custom.xml><?xml version="1.0" encoding="utf-8"?>
<Properties xmlns="http://schemas.openxmlformats.org/officeDocument/2006/custom-properties" xmlns:vt="http://schemas.openxmlformats.org/officeDocument/2006/docPropsVTypes"/>
</file>