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TrouveMoi — Plaisir &amp; Loisirs</w:t>
      </w:r>
    </w:p>
    <w:p>
      <w:pPr>
        <w:spacing w:after="240"/>
        <w:jc w:val="center"/>
      </w:pPr>
      <w:r>
        <w:rPr>
          <w:i/>
          <w:iCs/>
          <w:color w:val="222222"/>
          <w:sz w:val="24"/>
          <w:szCs w:val="24"/>
        </w:rPr>
        <w:t xml:space="preserve">Compte-rendu d’intervention</w:t>
      </w:r>
    </w:p>
    <w:p>
      <w:pPr>
        <w:spacing w:after="40"/>
      </w:pPr>
      <w:r>
        <w:rPr>
          <w:b/>
          <w:bCs/>
          <w:sz w:val="22"/>
          <w:szCs w:val="22"/>
        </w:rPr>
        <w:t xml:space="preserve">Date : </w:t>
      </w:r>
      <w:r>
        <w:rPr>
          <w:sz w:val="22"/>
          <w:szCs w:val="22"/>
        </w:rPr>
        <w:t xml:space="preserve">17 septembre 2026</w:t>
      </w:r>
    </w:p>
    <w:p>
      <w:pPr>
        <w:spacing w:after="40"/>
      </w:pPr>
      <w:r>
        <w:rPr>
          <w:b/>
          <w:bCs/>
          <w:sz w:val="22"/>
          <w:szCs w:val="22"/>
        </w:rPr>
        <w:t xml:space="preserve">Objet : </w:t>
      </w:r>
      <w:r>
        <w:rPr>
          <w:sz w:val="22"/>
          <w:szCs w:val="22"/>
        </w:rPr>
        <w:t xml:space="preserve">suite du compte-rendu du 15 septembre 2026 — recherche de professionnels par rayon, notifications réelles, export des données personnelles, album photo et domaine Événements/Groupes livrés, inscription et connexion fiabilisées</w:t>
      </w:r>
    </w:p>
    <w:p>
      <w:pPr>
        <w:spacing w:after="40"/>
      </w:pPr>
      <w:r>
        <w:rPr>
          <w:b/>
          <w:bCs/>
          <w:sz w:val="22"/>
          <w:szCs w:val="22"/>
        </w:rPr>
        <w:t xml:space="preserve">Destinataire : </w:t>
      </w:r>
      <w:r>
        <w:rPr>
          <w:sz w:val="22"/>
          <w:szCs w:val="22"/>
        </w:rPr>
        <w:t xml:space="preserve">porteur du projet</w:t>
      </w:r>
    </w:p>
    <w:p>
      <w:pPr>
        <w:pBdr>
          <w:bottom w:val="single" w:color="AAAAAA" w:sz="6"/>
        </w:pBdr>
        <w:spacing w:after="240" w:before="120"/>
      </w:pPr>
    </w:p>
    <w:p>
      <w:pPr>
        <w:pStyle w:val="Heading1"/>
        <w:spacing w:after="140" w:before="280"/>
      </w:pPr>
      <w:r>
        <w:rPr>
          <w:b/>
          <w:bCs/>
          <w:color w:val="1F3864"/>
          <w:sz w:val="26"/>
          <w:szCs w:val="26"/>
        </w:rPr>
        <w:t xml:space="preserve">1. Travaux réalisés</w:t>
      </w:r>
    </w:p>
    <w:p>
      <w:pPr>
        <w:spacing w:after="60" w:before="200"/>
      </w:pPr>
      <w:r>
        <w:rPr>
          <w:b/>
          <w:bCs/>
          <w:color w:val="222222"/>
          <w:sz w:val="22"/>
          <w:szCs w:val="22"/>
        </w:rPr>
        <w:t xml:space="preserve">Recherche de professionnels par rayon (§5, §9 du CDC)</w:t>
      </w:r>
    </w:p>
    <w:p>
      <w:pPr>
        <w:spacing w:after="160"/>
        <w:jc w:val="both"/>
      </w:pPr>
      <w:r>
        <w:rPr>
          <w:sz w:val="22"/>
          <w:szCs w:val="22"/>
        </w:rPr>
        <w:t xml:space="preserve">La recherche de prestataires se filtrait déjà par métier et par ville ; un filtre par rayon (10, 25, 50 ou 100 km) a été ajouté. Un vrai géocodage d’adresse suppose un fournisseur externe — clé d’API, quota, conditions à valider, la même famille de décision que l’authentification Google/Facebook ou Stripe, volontairement laissée en attente d’arbitrage. Le rayon s’appuie donc sur une table des principales villes françaises plutôt que sur un service payant : une ville absente de cette table est simplement exclue du filtre par rayon, sans message d’erreur, et la recherche par métier et ville continue de fonctionner pour n’importe quelle ville.</w:t>
      </w:r>
    </w:p>
    <w:p>
      <w:pPr>
        <w:spacing w:after="60" w:before="200"/>
      </w:pPr>
      <w:r>
        <w:rPr>
          <w:b/>
          <w:bCs/>
          <w:color w:val="222222"/>
          <w:sz w:val="22"/>
          <w:szCs w:val="22"/>
        </w:rPr>
        <w:t xml:space="preserve">Notifications entièrement réelles</w:t>
      </w:r>
    </w:p>
    <w:p>
      <w:pPr>
        <w:spacing w:after="160"/>
        <w:jc w:val="both"/>
      </w:pPr>
      <w:r>
        <w:rPr>
          <w:sz w:val="22"/>
          <w:szCs w:val="22"/>
        </w:rPr>
        <w:t xml:space="preserve">Le compteur de notifications non lues, affiché dans l’en-tête et le menu du compte, restait une donnée de démonstration depuis sa mise en place le 14 septembre : il reflète désormais le contenu réel de chaque compte. Un bouton « Tout marquer comme lu » a été ajouté, ainsi qu’un écran de préférences permettant de choisir quelles notifications recevoir. Les demandes de devis et les activités privées déclenchent elles aussi désormais des notifications, en plus des réservations, avis, paiements et messages déjà couverts.</w:t>
      </w:r>
    </w:p>
    <w:p>
      <w:pPr>
        <w:spacing w:after="60" w:before="200"/>
      </w:pPr>
      <w:r>
        <w:rPr>
          <w:b/>
          <w:bCs/>
          <w:color w:val="222222"/>
          <w:sz w:val="22"/>
          <w:szCs w:val="22"/>
        </w:rPr>
        <w:t xml:space="preserve">Export des données personnelles (§26 du CDC)</w:t>
      </w:r>
    </w:p>
    <w:p>
      <w:pPr>
        <w:spacing w:after="160"/>
        <w:jc w:val="both"/>
      </w:pPr>
      <w:r>
        <w:rPr>
          <w:sz w:val="22"/>
          <w:szCs w:val="22"/>
        </w:rPr>
        <w:t xml:space="preserve">Un utilisateur peut désormais télécharger un export de ses propres données (favoris, demandes de devis, activités privées organisées ou rejointes, avis, conversations) depuis l’écran « Paramètres » du compte — droit à la portabilité prévu par le RGPD.</w:t>
      </w:r>
    </w:p>
    <w:p>
      <w:pPr>
        <w:spacing w:after="60" w:before="200"/>
      </w:pPr>
      <w:r>
        <w:rPr>
          <w:b/>
          <w:bCs/>
          <w:color w:val="222222"/>
          <w:sz w:val="22"/>
          <w:szCs w:val="22"/>
        </w:rPr>
        <w:t xml:space="preserve">Album photo des activités privées (§4 du document du 27 juillet 2026)</w:t>
      </w:r>
    </w:p>
    <w:p>
      <w:pPr>
        <w:spacing w:after="160"/>
        <w:jc w:val="both"/>
      </w:pPr>
      <w:r>
        <w:rPr>
          <w:sz w:val="22"/>
          <w:szCs w:val="22"/>
        </w:rPr>
        <w:t xml:space="preserve">Le compte-rendu du 15 septembre signalait que cette rubrique de l’espace client restait sans écran ni donnée derrière elle. Chaque activité privée dispose désormais d’un album partagé : l’organisateur et les participants dont la place est confirmée peuvent y déposer des photos (25 par album au maximum) et retirer les leurs. Aucune maquette Figma n’existe pour cet écran précis : l’interface reprend donc la galerie photo déjà maquettée et livrée pour le domaine Événements, pour rester visuellement cohérente avec le reste du site plutôt que d’improviser un habillage générique.</w:t>
      </w:r>
    </w:p>
    <w:p>
      <w:pPr>
        <w:spacing w:after="60" w:before="200"/>
      </w:pPr>
      <w:r>
        <w:rPr>
          <w:b/>
          <w:bCs/>
          <w:color w:val="222222"/>
          <w:sz w:val="22"/>
          <w:szCs w:val="22"/>
        </w:rPr>
        <w:t xml:space="preserve">Domaine Événements / Groupes : fiches réelles</w:t>
      </w:r>
    </w:p>
    <w:p>
      <w:pPr>
        <w:spacing w:after="160"/>
        <w:jc w:val="both"/>
      </w:pPr>
      <w:r>
        <w:rPr>
          <w:sz w:val="22"/>
          <w:szCs w:val="22"/>
        </w:rPr>
        <w:t xml:space="preserve">Un examen plus approfondi, engagé après le compte-rendu du 15 septembre, a montré que le domaine était plus avancé que prévu : les entités événement, groupe et album existaient déjà en base, seules les fiches de détail restaient figées sur un contenu unique, quel que soit l’événement ou le groupe réellement cliqué. C’est corrigé : la fiche d’un événement, celle d’un groupe et celle d’un album affichent désormais leur propre titre, description, organisateur, lieu, date et photo de couverture. Une information manquait encore à l’entité événement pour que sa fiche soit complète (le texte de présentation) ; elle a été ajoutée, cette information étant déjà demandée à la création d’un événement mais jamais enregistrée jusqu’ici. Les recommandations « Vous aimerez peut-être aussi » montrent maintenant d’autres événements réels plutôt que des groupes sans rapport avec la page consultée, et les blocs de contenu pour lesquels aucune donnée réelle n’existe encore (adhésion à un groupe, avis sur un groupe, discussions) ont été laissés inchangés plutôt que reconstruits sur une hypothèse : ce sont des fonctionnalités à part entière, distinctes de la correction demandée, et leur périmètre reste à définir avec vous le cas échéant.</w:t>
      </w:r>
    </w:p>
    <w:p>
      <w:pPr>
        <w:spacing w:after="60" w:before="200"/>
      </w:pPr>
      <w:r>
        <w:rPr>
          <w:b/>
          <w:bCs/>
          <w:color w:val="222222"/>
          <w:sz w:val="22"/>
          <w:szCs w:val="22"/>
        </w:rPr>
        <w:t xml:space="preserve">Fiabilisation de l’inscription et de la connexion</w:t>
      </w:r>
    </w:p>
    <w:p>
      <w:pPr>
        <w:spacing w:after="160"/>
        <w:jc w:val="both"/>
      </w:pPr>
      <w:r>
        <w:rPr>
          <w:sz w:val="22"/>
          <w:szCs w:val="22"/>
        </w:rPr>
        <w:t xml:space="preserve">Un client saisissant une adresse e-mail déjà utilisée à l’inscription ne voyait apparaître aucun message d’erreur : la page semblait ignorer l’envoi du formulaire. En cause, un mécanisme de navigation accélérée qui interrompt silencieusement toute réponse du serveur qui n’est pas une redirection — dont dépendaient l’inscription cliente et l’inscription professionnelle. Corrigé sur les deux parcours.</w:t>
      </w:r>
    </w:p>
    <w:p>
      <w:pPr>
        <w:spacing w:after="160"/>
        <w:jc w:val="both"/>
      </w:pPr>
      <w:r>
        <w:rPr>
          <w:sz w:val="22"/>
          <w:szCs w:val="22"/>
        </w:rPr>
        <w:t xml:space="preserve">Par ailleurs, un compte resté « en attente » (adresse e-mail jamais vérifiée) qui se reconnectait plus tard tombait sur un message renvoyant vers « la page de vérification », sans aucun moyen concret d’y accéder : cet écran dépendait d’une information disponible uniquement juste après l’inscription. Un nouveau point d’entrée, accessible directement depuis l’écran de connexion, permet désormais de redemander un code à tout moment.</w:t>
      </w:r>
    </w:p>
    <w:p>
      <w:pPr>
        <w:spacing w:after="60" w:before="200"/>
      </w:pPr>
      <w:r>
        <w:rPr>
          <w:b/>
          <w:bCs/>
          <w:color w:val="222222"/>
          <w:sz w:val="22"/>
          <w:szCs w:val="22"/>
        </w:rPr>
        <w:t xml:space="preserve">En-tête du site</w:t>
      </w:r>
    </w:p>
    <w:p>
      <w:pPr>
        <w:spacing w:after="160"/>
        <w:jc w:val="both"/>
      </w:pPr>
      <w:r>
        <w:rPr>
          <w:sz w:val="22"/>
          <w:szCs w:val="22"/>
        </w:rPr>
        <w:t xml:space="preserve">Deux anomalies relevées dans l’en-tête, visible sur toutes les pages une fois connecté : l’icône de messagerie ne menait nulle part, et la photo de profil affichée restait celle de démonstration même après qu’un utilisateur ait déposé la sienne, alors qu’elle se mettait à jour correctement dans le menu du compte. Les deux corrigées.</w:t>
      </w:r>
    </w:p>
    <w:p>
      <w:pPr>
        <w:spacing w:after="60" w:before="200"/>
      </w:pPr>
      <w:r>
        <w:rPr>
          <w:b/>
          <w:bCs/>
          <w:color w:val="222222"/>
          <w:sz w:val="22"/>
          <w:szCs w:val="22"/>
        </w:rPr>
        <w:t xml:space="preserve">Pipeline de déploiement</w:t>
      </w:r>
    </w:p>
    <w:p>
      <w:pPr>
        <w:spacing w:after="160"/>
        <w:jc w:val="both"/>
      </w:pPr>
      <w:r>
        <w:rPr>
          <w:sz w:val="22"/>
          <w:szCs w:val="22"/>
        </w:rPr>
        <w:t xml:space="preserve">Le risque déjà documenté (note du 11 août, §6) — un cache de production périmé faisant échouer le déploiement après un changement de dépendances — est désormais neutralisé directement dans la procédure automatisée : le cache et les fichiers compilés sont purgés avant toute autre étape.</w:t>
      </w:r>
    </w:p>
    <w:p>
      <w:pPr>
        <w:spacing w:after="60" w:before="200"/>
      </w:pPr>
      <w:r>
        <w:rPr>
          <w:b/>
          <w:bCs/>
          <w:color w:val="222222"/>
          <w:sz w:val="22"/>
          <w:szCs w:val="22"/>
        </w:rPr>
        <w:t xml:space="preserve">Environnement de test local</w:t>
      </w:r>
    </w:p>
    <w:p>
      <w:pPr>
        <w:spacing w:after="160"/>
        <w:jc w:val="both"/>
      </w:pPr>
      <w:r>
        <w:rPr>
          <w:sz w:val="22"/>
          <w:szCs w:val="22"/>
        </w:rPr>
        <w:t xml:space="preserve">Un défaut de la même famille que celui déjà signalé le 11 septembre a été retrouvé, cette fois avec une cause différente : le serveur local utilisé pour la recette renvoyait un mauvais type de fichier pour les feuilles de style de l’administration, la rendant à nouveau illisible. Corrigé. Un compte administrateur de test et un service local de réception des e-mails ont par ailleurs été mis en place, pour vérifier les envois (vérification d’e-mail, notifications) sans dépendre d’un service d’envoi réel.</w:t>
      </w:r>
    </w:p>
    <w:p>
      <w:pPr>
        <w:spacing w:after="160"/>
        <w:jc w:val="both"/>
      </w:pPr>
      <w:r>
        <w:rPr>
          <w:sz w:val="22"/>
          <w:szCs w:val="22"/>
        </w:rPr>
        <w:t xml:space="preserve">Chaque livraison ci-dessus a été vérifiée avant validation : la suite de tests automatisés du projet (615 tests) passe sans échec, ainsi que l’analyse statique du code et la vérification du style. Deux migrations de base de données ont été appliquées (album photo des activités privées ; description réelle sur la fiche événement).</w:t>
      </w:r>
    </w:p>
    <w:p>
      <w:pPr>
        <w:pStyle w:val="Heading1"/>
        <w:spacing w:after="140" w:before="280"/>
      </w:pPr>
      <w:r>
        <w:rPr>
          <w:b/>
          <w:bCs/>
          <w:color w:val="1F3864"/>
          <w:sz w:val="26"/>
          <w:szCs w:val="26"/>
        </w:rPr>
        <w:t xml:space="preserve">2. Point d’attention pour la mise en production</w:t>
      </w:r>
    </w:p>
    <w:p>
      <w:pPr>
        <w:spacing w:after="160"/>
        <w:jc w:val="both"/>
      </w:pPr>
      <w:r>
        <w:rPr>
          <w:sz w:val="22"/>
          <w:szCs w:val="22"/>
        </w:rPr>
        <w:t xml:space="preserve">Un seul point, opérationnel plutôt que technique, conditionne le passage en conditions réelles : les abonnements professionnels (§17 du CDC) sont fonctionnels de bout en bout avec les clés de test Stripe ; le basculement vers vos clés de production Stripe est un réglage de configuration, à effectuer de votre côté au moment choisi pour la mise en ligne — ces clés ne peuvent venir que de votre propre compte Stripe.</w:t>
      </w:r>
    </w:p>
    <w:p>
      <w:pPr>
        <w:spacing w:after="160"/>
        <w:jc w:val="both"/>
      </w:pPr>
      <w:r>
        <w:rPr>
          <w:sz w:val="22"/>
          <w:szCs w:val="22"/>
        </w:rPr>
        <w:t xml:space="preserve">Le domaine « Événements / Groupes » ayant révélé, en l’examinant, un périmètre plus large que prévu (adhésion à un groupe, avis, discussions), nous restons à votre disposition pour en discuter si vous souhaitez le compléter au-delà de la correction livrée aujourd’hui.</w:t>
      </w:r>
    </w:p>
    <w:p>
      <w:pPr>
        <w:pBdr>
          <w:top w:val="single" w:color="AAAAAA" w:sz="6"/>
        </w:pBdr>
        <w:spacing w:after="0" w:before="320"/>
      </w:pPr>
    </w:p>
    <w:p>
      <w:pPr>
        <w:spacing w:before="0"/>
      </w:pPr>
      <w:r>
        <w:rPr>
          <w:i/>
          <w:iCs/>
          <w:color w:val="555555"/>
          <w:sz w:val="20"/>
          <w:szCs w:val="20"/>
        </w:rPr>
        <w:t xml:space="preserve">Document établi le 17 septembre 2026, à la suite du compte-rendu d’intervention du 15 septembre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2026-09-17T17:17:07.828Z</dcterms:created>
  <dcterms:modified xsi:type="dcterms:W3CDTF">2026-09-17T17:17:07.829Z</dcterms:modified>
</cp:coreProperties>
</file>

<file path=docProps/custom.xml><?xml version="1.0" encoding="utf-8"?>
<Properties xmlns="http://schemas.openxmlformats.org/officeDocument/2006/custom-properties" xmlns:vt="http://schemas.openxmlformats.org/officeDocument/2006/docPropsVTypes"/>
</file>