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72613152" w:displacedByCustomXml="next"/>
    <w:bookmarkStart w:id="1" w:name="OLE_LINK15" w:displacedByCustomXml="next"/>
    <w:bookmarkStart w:id="2" w:name="OLE_LINK16" w:displacedByCustomXml="next"/>
    <w:sdt>
      <w:sdtPr>
        <w:rPr>
          <w:rFonts w:eastAsia="SimSun" w:cs="Mangal"/>
          <w:b w:val="0"/>
          <w:bCs w:val="0"/>
          <w:iCs/>
          <w:szCs w:val="20"/>
          <w:lang w:eastAsia="zh-CN" w:bidi="hi-IN"/>
        </w:rPr>
        <w:id w:val="1096055123"/>
        <w:docPartObj>
          <w:docPartGallery w:val="Table of Contents"/>
          <w:docPartUnique/>
        </w:docPartObj>
      </w:sdtPr>
      <w:sdtEndPr>
        <w:rPr>
          <w:rFonts w:cstheme="minorHAnsi"/>
          <w:bCs/>
          <w:noProof/>
        </w:rPr>
      </w:sdtEndPr>
      <w:sdtContent>
        <w:p w14:paraId="3C530048" w14:textId="0B673454" w:rsidR="00847E08" w:rsidRPr="00BD4398" w:rsidRDefault="00847E08" w:rsidP="00847E08">
          <w:pPr>
            <w:pStyle w:val="ad"/>
            <w:spacing w:line="240" w:lineRule="auto"/>
            <w:rPr>
              <w:lang w:val="en-US"/>
            </w:rPr>
          </w:pPr>
          <w:r>
            <w:rPr>
              <w:rFonts w:eastAsia="Arial"/>
            </w:rPr>
            <w:t>СОДЕРЖАНИЕ</w:t>
          </w:r>
          <w:r>
            <w:rPr>
              <w:rFonts w:eastAsia="Arial"/>
            </w:rPr>
            <w:br/>
          </w:r>
        </w:p>
        <w:p w14:paraId="4590CDB9" w14:textId="0187067C" w:rsidR="00847E08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9300155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FFAE" w14:textId="758EB0A3" w:rsidR="00847E08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6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 ОБЗОР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AF5E" w14:textId="77F1B523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7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1.1 GPON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9E55" w14:textId="502D6EF6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8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1.2 Серверы и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02660" w14:textId="7040589E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9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1.3 Сетевое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AAC4" w14:textId="750D28AF" w:rsidR="00847E08" w:rsidRDefault="00847E08" w:rsidP="00847E08">
          <w:pPr>
            <w:pStyle w:val="11"/>
            <w:rPr>
              <w:rFonts w:cs="Mangal"/>
              <w:bCs w:val="0"/>
              <w:iCs w:val="0"/>
              <w:noProof/>
            </w:rPr>
          </w:pPr>
          <w:r>
            <w:fldChar w:fldCharType="end"/>
          </w:r>
          <w:r>
            <w:br w:type="page"/>
          </w:r>
        </w:p>
      </w:sdtContent>
    </w:sdt>
    <w:p w14:paraId="624B925A" w14:textId="065BA4E3" w:rsidR="00C2092F" w:rsidRPr="00C2092F" w:rsidRDefault="00C2092F" w:rsidP="00C2092F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3" w:name="_Toc209300155"/>
      <w:r w:rsidRPr="00C2092F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ВВЕДЕНИЕ</w:t>
      </w:r>
      <w:bookmarkEnd w:id="2"/>
      <w:bookmarkEnd w:id="1"/>
      <w:bookmarkEnd w:id="0"/>
      <w:bookmarkEnd w:id="3"/>
    </w:p>
    <w:p w14:paraId="083A7D16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BFEBE30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контексте государственного университета, специализирующегося на естественных науках, создание локальной вычислительной сети для центра обработки данных (ЦОД) является важной задачей для обеспечения бесперебойного доступа к информационным ресурсам университета. Основная цель сети — предоставить безопасное и надежное соединение для стационарных и мобильных пользователей, а также для прикладных сервисов, востребованных сотрудниками и студентами университета.</w:t>
      </w:r>
    </w:p>
    <w:p w14:paraId="26D33971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Здание центра обработки данных имеет вытянутую прямоугольную форму с соотношением сторон 1:2,5 и представляет собой одноэтажное сооружение с общей площадью 400 м². Такое планировочное решение требует продуманного распределения сетевого оборудования и точек подключения, чтобы обеспечить оптимальное покрытие и пропускную способность для пользователей по всей площади.</w:t>
      </w:r>
    </w:p>
    <w:p w14:paraId="104F5D39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стационарных и мобильных подключений на данном этапе уточняется условным заказчиком, однако предполагается поддержка базовых и дополнительных сервисов, а также обеспечение возможности подключения внешних пользователей через Интернет. Для подключения к глобальной сети планируется использование публичной подсети IPv4, с выделением блоков для внутренней адресации и при необходимости применения адресации IPv6, соответствующей стандартам для Республики Беларусь.</w:t>
      </w:r>
    </w:p>
    <w:p w14:paraId="4FB81DE3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Особое внимание уделяется безопасности и надежности сети: предусмотрена базовая информационная защита, а также меры по защите оборудования от повышенной влажности, что актуально для условий ЦОД. Несмотря на коммерческий характер сети, проект должен учитывать оптимизацию финансовых затрат и возможность масштабирования в будущем.</w:t>
      </w:r>
    </w:p>
    <w:p w14:paraId="655F608F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Цель проекта: разработка проекта локальной вычислительной сети для центра обработки данных государственного университета, обеспечивающей стабильную работу прикладных сервисов, безопасное подключение пользователей и доступ к ресурсам сети Интернет.</w:t>
      </w:r>
    </w:p>
    <w:p w14:paraId="7880A284" w14:textId="349902CF" w:rsidR="00847E08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Задачи: изучение материала по заданию на проект до начала выполнения проекта, как и дальнейшее изучение технологий по ходу выполнения проекта; разработка общей структуры сети, структурной схемы; выбор конкретных устройств, обоснование их выбора, описание настройки устройств, составление функциональной схемы; разработка структурной кабельной системы, составление её схемы.</w:t>
      </w:r>
    </w:p>
    <w:p w14:paraId="6BB56DCD" w14:textId="394A5D2D" w:rsidR="00847E08" w:rsidRPr="00847E08" w:rsidRDefault="00847E08" w:rsidP="00847E08">
      <w:pPr>
        <w:pStyle w:val="1"/>
        <w:ind w:firstLine="708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0F667AC0" w14:textId="2D8EB7CA" w:rsidR="00847E08" w:rsidRPr="00847E08" w:rsidRDefault="00847E08" w:rsidP="00847E08">
      <w:pPr>
        <w:pStyle w:val="1"/>
        <w:ind w:firstLine="708"/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</w:pPr>
      <w:bookmarkStart w:id="4" w:name="_Toc209300156"/>
      <w:r w:rsidRPr="00847E08"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  <w:lastRenderedPageBreak/>
        <w:t>1 ОБЗОР ЛИТЕРАТУРЫ</w:t>
      </w:r>
      <w:bookmarkEnd w:id="4"/>
    </w:p>
    <w:p w14:paraId="663706A8" w14:textId="77777777" w:rsid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3C31C02B" w14:textId="77777777" w:rsidR="00B73740" w:rsidRPr="00B73740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r w:rsidRPr="00B7374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1.1 Технологии серверной виртуализации</w:t>
      </w:r>
    </w:p>
    <w:p w14:paraId="6B69A0D7" w14:textId="77777777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</w:p>
    <w:p w14:paraId="323B9323" w14:textId="77777777" w:rsidR="00B73740" w:rsidRDefault="00B73740" w:rsidP="00B73740">
      <w:pPr>
        <w:spacing w:after="0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Виртуализация — это технология, позволяющая запускать на одном физическом сервере несколько независимых виртуальных машин (ВМ), каждая из которых функционирует как отдельное вычислительное устройство с собственной операционной системой и ресурсами.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Главная цель внедрения виртуализации в ЦОД — повышение эффективности использования аппаратных ресурсов и обеспечение гибкости при масштабировании вычислительных мощностей.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 архитектуре виртуализация делится на несколько типов:</w:t>
      </w:r>
    </w:p>
    <w:p w14:paraId="309AB955" w14:textId="6945B4F2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Аппаратная (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bare-metal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) — гипервизор устанавливается непосредственно на сервер без промежуточной операционной системы (пример: VMware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ESXi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Microsoft Hyper-V,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Proxmox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VE). Такой подход обеспечивает максимальную производительность и отказоустойчивость.</w:t>
      </w:r>
    </w:p>
    <w:p w14:paraId="2997713A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Паравиртуализация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— гипервизор взаимодействует с модифицированными гостевыми ОС, что уменьшает накладные расходы и ускоряет операции ввода/вывода (пример: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Xen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).</w:t>
      </w:r>
    </w:p>
    <w:p w14:paraId="663BC0B3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Контейнеризация — изоляция приложений в рамках одной ОС с помощью технологий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Docker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LXC или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Kubernetes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. Контейнеры занимают меньше ресурсов и обеспечивают быстрое развертывание сервисов.</w:t>
      </w:r>
    </w:p>
    <w:p w14:paraId="7FDFFA43" w14:textId="77777777" w:rsidR="00B73740" w:rsidRPr="00B73740" w:rsidRDefault="00B73740" w:rsidP="00B73740">
      <w:pPr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Основными преимуществами использования виртуализации в ЦОД являются:</w:t>
      </w:r>
    </w:p>
    <w:p w14:paraId="267511BA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экономия на аппаратном обеспечении за счёт консолидации серверов;</w:t>
      </w:r>
    </w:p>
    <w:p w14:paraId="5156CD04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упрощение резервного копирования и миграции ВМ между физическими узлами;</w:t>
      </w:r>
    </w:p>
    <w:p w14:paraId="5524F88D" w14:textId="77777777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гибкость при распределении ресурсов и нагрузок;</w:t>
      </w:r>
    </w:p>
    <w:p w14:paraId="3300EDDC" w14:textId="77777777" w:rsid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повышение отказоустойчивости при использовании кластеров гипервизоров.</w:t>
      </w:r>
    </w:p>
    <w:p w14:paraId="22ABA181" w14:textId="2186BBDE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Для реализации виртуализации в проектируемом ЦОД планируется использование серверов HP DL380 Gen10, поддерживающих аппаратную виртуализацию Intel VT-x и VT-d, а также централизованного управления через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vCenter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аналогичные системы.</w:t>
      </w:r>
    </w:p>
    <w:p w14:paraId="48E20565" w14:textId="77777777" w:rsidR="00B73740" w:rsidRDefault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2D5F9FA4" w14:textId="77777777" w:rsidR="00B73740" w:rsidRPr="00B73740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r w:rsidRPr="00B73740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lastRenderedPageBreak/>
        <w:t>1.2 Системы хранения данных</w:t>
      </w:r>
    </w:p>
    <w:p w14:paraId="487C1EE2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2EDD763E" w14:textId="72F65124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Центры обработки данных требуют надёжных и масштабируемых систем хранения информации, обеспечивающих быстрый доступ и защиту данных.</w:t>
      </w: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</w:t>
      </w: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Системы хранения классифицируются по способу подключения и архитектуре:</w:t>
      </w:r>
    </w:p>
    <w:p w14:paraId="122433F6" w14:textId="6B671F94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DAS (Direct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дисковые массивы, подключённые напрямую к серверу. Обеспечивают высокую скорость, но не масштабируются на уровне сети.</w:t>
      </w:r>
    </w:p>
    <w:p w14:paraId="5B3D26AD" w14:textId="6E3351A5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NAS (Network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сетевое хранилище, доступное по протоколам NFS, SMB или FTP. Используется для централизованного хранения пользовательских и исследовательских данных.</w:t>
      </w:r>
    </w:p>
    <w:p w14:paraId="5FAA17EE" w14:textId="41D021E6" w:rsidR="00B73740" w:rsidRPr="00B73740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SAN (Storage Area Network) — специализированная высокоскоростная сеть хранения, использующая протоколы </w:t>
      </w:r>
      <w:proofErr w:type="spellStart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Fibre Channel. Позволяет объединять множество серверов и систем хранения в единую инфраструктуру.</w:t>
      </w:r>
    </w:p>
    <w:p w14:paraId="1B64E359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Основные параметры, определяющие эффективность систем хранения:</w:t>
      </w:r>
    </w:p>
    <w:p w14:paraId="2F310F6E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скорость доступа и пропускная способность каналов передачи данных;</w:t>
      </w:r>
    </w:p>
    <w:p w14:paraId="4194057D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уровень отказоустойчивости (RAID-массивы, дублирование блоков);</w:t>
      </w:r>
    </w:p>
    <w:p w14:paraId="237CEF1C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возможность масштабирования и резервирования;</w:t>
      </w:r>
    </w:p>
    <w:p w14:paraId="5D41A4EE" w14:textId="77777777" w:rsidR="00B73740" w:rsidRPr="00DA656D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DA656D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поддержка горячей замены дисков и репликации.</w:t>
      </w:r>
    </w:p>
    <w:p w14:paraId="3E85BEC0" w14:textId="31CCEE13" w:rsidR="00B73740" w:rsidRPr="00B73740" w:rsidRDefault="00DA656D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Для проектируемого ЦОДа выбрана модель хранения на базе серверов Dell </w:t>
      </w:r>
      <w:proofErr w:type="spellStart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PowerEdge</w:t>
      </w:r>
      <w:proofErr w:type="spellEnd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R360, объединённых в сеть с использованием протокола </w:t>
      </w:r>
      <w:proofErr w:type="spellStart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="00B73740" w:rsidRPr="00B73740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 поддержкой RAID 10, что обеспечивает высокую производительность и надёжность при хранении критически важных данных.</w:t>
      </w:r>
    </w:p>
    <w:p w14:paraId="2BF3A79D" w14:textId="77777777" w:rsidR="00B73740" w:rsidRP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51BC1E85" w14:textId="00EA89F3" w:rsidR="00B73740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42E414F5" w14:textId="1D1ED66C" w:rsidR="00B73740" w:rsidRPr="00B73740" w:rsidRDefault="00B73740" w:rsidP="00B73740">
      <w:pPr>
        <w:pStyle w:val="1"/>
        <w:ind w:firstLine="708"/>
        <w:rPr>
          <w:rFonts w:ascii="Times New Roman" w:hAnsi="Times New Roman" w:cs="Times New Roman"/>
          <w:b/>
          <w:bCs/>
          <w:color w:val="494949" w:themeColor="text1"/>
          <w:sz w:val="28"/>
          <w:szCs w:val="28"/>
          <w:lang w:val="en-US"/>
        </w:rPr>
      </w:pPr>
      <w:bookmarkStart w:id="5" w:name="_Toc18055"/>
      <w:r>
        <w:rPr>
          <w:rFonts w:ascii="Times New Roman" w:hAnsi="Times New Roman" w:cs="Times New Roman"/>
          <w:b/>
          <w:bCs/>
          <w:color w:val="494949" w:themeColor="text1"/>
          <w:sz w:val="28"/>
          <w:szCs w:val="28"/>
        </w:rPr>
        <w:lastRenderedPageBreak/>
        <w:t>2 СТРУКТУРНОЕ ПРОЕКТИРОВАНИЕ</w:t>
      </w:r>
      <w:bookmarkEnd w:id="5"/>
      <w:r>
        <w:rPr>
          <w:rFonts w:ascii="Times New Roman" w:hAnsi="Times New Roman" w:cs="Times New Roman"/>
          <w:b/>
          <w:bCs/>
          <w:color w:val="494949" w:themeColor="text1"/>
          <w:sz w:val="28"/>
          <w:szCs w:val="28"/>
        </w:rPr>
        <w:t xml:space="preserve"> </w:t>
      </w:r>
    </w:p>
    <w:p w14:paraId="2D9C7AAA" w14:textId="77777777" w:rsid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603F8A" w14:textId="4304E39B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В соответствии с заданием разработана структура локальной вычислительной сети центра обработки данных (ЦОД) государственного университета, специализирующегося на естественных науках.</w:t>
      </w:r>
    </w:p>
    <w:p w14:paraId="147282CD" w14:textId="77777777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Здание одноэтажное, вытянутое прямоугольное с соотношением сторон 1:2,5, общей площадью 400 м². Помещения включают серверный зал, операторскую комнату, переговорную, тестовую лабораторию, склад, гардеробную, машинное и подсобное помещения, а также комнату источников бесперебойного питания.</w:t>
      </w:r>
    </w:p>
    <w:p w14:paraId="0810BB15" w14:textId="77777777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Основу инфраструктуры составляют серверные стойки 19″ 42U, распределённые по функциональному назначению:</w:t>
      </w:r>
    </w:p>
    <w:p w14:paraId="04E5C87C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ядра (Core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1–2) — содержат L3-коммутаторы, маршрутизатор и оборудование сетевой безопасности (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>).</w:t>
      </w:r>
    </w:p>
    <w:p w14:paraId="7E48E4D5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серверов (Server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1–14) — предназначены для размещения универсальных, прикладных и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виртуализационных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серверов.</w:t>
      </w:r>
    </w:p>
    <w:p w14:paraId="4D7FAA87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Стойки хранилищ (Storage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1–2) — используются для размещения систем хранения данных (NAS/DAS).</w:t>
      </w:r>
    </w:p>
    <w:p w14:paraId="35BDCD4B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Инфраструктурная стойка — включает управляющий сервер, коммутатор управления и оборудование мониторинга среды.</w:t>
      </w:r>
    </w:p>
    <w:p w14:paraId="4D797E54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Резервные стойки — предназначены для масштабирования и аварийного размещения оборудования.</w:t>
      </w:r>
    </w:p>
    <w:p w14:paraId="48F02C50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Физическая сеть организована по иерархической трёхуровневой схеме: ядро – распределение – доступ.</w:t>
      </w:r>
    </w:p>
    <w:p w14:paraId="40E0E40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В ядре установлены три L3-коммутатора и балансировщик нагрузки, объединённые в отказоустойчивый кластер.</w:t>
      </w:r>
    </w:p>
    <w:p w14:paraId="0E99FBFA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На уровне распределения используется 14 коммутаторов L2 серии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Origo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OS3128P, соединённых с ядром через оптоволоконную патч-панель.</w:t>
      </w:r>
    </w:p>
    <w:p w14:paraId="44646835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На уровне доступа обеспечены проводные подключения стационарных рабочих мест и беспроводные точки доступа TP-Link EAP653, работающие по стандарту IEEE 802.11ax (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>-Fi 6).</w:t>
      </w:r>
    </w:p>
    <w:p w14:paraId="5AFE908B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0975">
        <w:rPr>
          <w:rFonts w:ascii="Times New Roman" w:hAnsi="Times New Roman" w:cs="Times New Roman"/>
          <w:sz w:val="28"/>
          <w:szCs w:val="28"/>
        </w:rPr>
        <w:t>Серверная инфраструктура включает:</w:t>
      </w:r>
    </w:p>
    <w:p w14:paraId="72FC15C9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Серверы виртуализации — 2 × HP DL380 Gen10 8xSFF;</w:t>
      </w:r>
    </w:p>
    <w:p w14:paraId="4BDCB26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Серверы приложений и управления —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Supermicro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CSE-819U;</w:t>
      </w:r>
    </w:p>
    <w:p w14:paraId="6CB6343F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 xml:space="preserve">Серверы хранения — Dell </w:t>
      </w:r>
      <w:proofErr w:type="spellStart"/>
      <w:r w:rsidRPr="00D80975">
        <w:rPr>
          <w:rFonts w:ascii="Times New Roman" w:hAnsi="Times New Roman" w:cs="Times New Roman"/>
          <w:sz w:val="28"/>
          <w:szCs w:val="28"/>
        </w:rPr>
        <w:t>PowerEdge</w:t>
      </w:r>
      <w:proofErr w:type="spellEnd"/>
      <w:r w:rsidRPr="00D80975">
        <w:rPr>
          <w:rFonts w:ascii="Times New Roman" w:hAnsi="Times New Roman" w:cs="Times New Roman"/>
          <w:sz w:val="28"/>
          <w:szCs w:val="28"/>
        </w:rPr>
        <w:t xml:space="preserve"> R360 (6 шт.);</w:t>
      </w:r>
    </w:p>
    <w:p w14:paraId="24FF529E" w14:textId="77777777" w:rsidR="00B73740" w:rsidRPr="00B73740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Балансировщик и маршрутизатор — TP-Link ER8411, обеспечивающий разграничение внешних и внутренних сетей и связь с Интернетом через выделенный канал.</w:t>
      </w:r>
    </w:p>
    <w:p w14:paraId="72114971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Дополнительно в сеть интегрирован хаб датчиков и система мониторинга температуры и влажности, обеспечивающая защиту оборудования от повышенной влажности согласно требованиям надёжности.</w:t>
      </w:r>
    </w:p>
    <w:p w14:paraId="1C3B7049" w14:textId="77777777" w:rsidR="00B73740" w:rsidRPr="00D80975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47A473" w14:textId="068F66A0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0975">
        <w:rPr>
          <w:rFonts w:ascii="Times New Roman" w:hAnsi="Times New Roman" w:cs="Times New Roman"/>
          <w:sz w:val="28"/>
          <w:szCs w:val="28"/>
        </w:rPr>
        <w:lastRenderedPageBreak/>
        <w:t>Пользовательский сегмент сети представлен стационарными рабочими станциями операторов и административным оборудованием. Доступ в сеть реализован через L2-коммутаторы и беспроводные точки доступа.</w:t>
      </w:r>
    </w:p>
    <w:p w14:paraId="0090689E" w14:textId="4660C51E" w:rsidR="00B73740" w:rsidRP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0975">
        <w:rPr>
          <w:rFonts w:ascii="Times New Roman" w:hAnsi="Times New Roman" w:cs="Times New Roman"/>
          <w:sz w:val="28"/>
          <w:szCs w:val="28"/>
        </w:rPr>
        <w:t>Кабельная инфраструктура выполнена на основе витой пары категории 6 (F/UTP) в кабель-каналах и оптоволоконных линий между стойками. Все активные устройства смонтированы в серверных стойках и подключены к источникам бесперебойного питания.</w:t>
      </w:r>
    </w:p>
    <w:p w14:paraId="3F0A25E1" w14:textId="77777777" w:rsidR="00B73740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975">
        <w:rPr>
          <w:rFonts w:ascii="Times New Roman" w:hAnsi="Times New Roman" w:cs="Times New Roman"/>
          <w:sz w:val="28"/>
          <w:szCs w:val="28"/>
        </w:rPr>
        <w:t>Структурная схема сети представлена в приложении А.</w:t>
      </w:r>
    </w:p>
    <w:p w14:paraId="7241E643" w14:textId="77777777" w:rsidR="002B10DF" w:rsidRDefault="002B10DF" w:rsidP="00847E08">
      <w:pPr>
        <w:widowControl w:val="0"/>
        <w:spacing w:after="0" w:line="240" w:lineRule="auto"/>
        <w:ind w:firstLine="709"/>
        <w:jc w:val="both"/>
      </w:pPr>
    </w:p>
    <w:sectPr w:rsidR="002B10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44074"/>
    <w:multiLevelType w:val="hybridMultilevel"/>
    <w:tmpl w:val="ACC2F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9B5CCD"/>
    <w:multiLevelType w:val="hybridMultilevel"/>
    <w:tmpl w:val="FE745D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A86302B"/>
    <w:multiLevelType w:val="multilevel"/>
    <w:tmpl w:val="60D08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531477D2"/>
    <w:multiLevelType w:val="hybridMultilevel"/>
    <w:tmpl w:val="C218C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5624360">
    <w:abstractNumId w:val="2"/>
  </w:num>
  <w:num w:numId="2" w16cid:durableId="1698695452">
    <w:abstractNumId w:val="0"/>
  </w:num>
  <w:num w:numId="3" w16cid:durableId="2072608230">
    <w:abstractNumId w:val="1"/>
  </w:num>
  <w:num w:numId="4" w16cid:durableId="15377405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3ED"/>
    <w:rsid w:val="002B10DF"/>
    <w:rsid w:val="004A53ED"/>
    <w:rsid w:val="007628FF"/>
    <w:rsid w:val="00847E08"/>
    <w:rsid w:val="00B73740"/>
    <w:rsid w:val="00C2092F"/>
    <w:rsid w:val="00DA656D"/>
    <w:rsid w:val="00E30984"/>
    <w:rsid w:val="00FB5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D3DC7"/>
  <w15:chartTrackingRefBased/>
  <w15:docId w15:val="{9CD2318D-B007-4E94-848D-2D5B9DAB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5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5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5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88888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3ED"/>
    <w:pPr>
      <w:keepNext/>
      <w:keepLines/>
      <w:spacing w:before="40" w:after="0"/>
      <w:outlineLvl w:val="6"/>
    </w:pPr>
    <w:rPr>
      <w:rFonts w:eastAsiaTheme="majorEastAsia" w:cstheme="majorBidi"/>
      <w:color w:val="888888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3ED"/>
    <w:pPr>
      <w:keepNext/>
      <w:keepLines/>
      <w:spacing w:after="0"/>
      <w:outlineLvl w:val="7"/>
    </w:pPr>
    <w:rPr>
      <w:rFonts w:eastAsiaTheme="majorEastAsia" w:cstheme="majorBidi"/>
      <w:i/>
      <w:iCs/>
      <w:color w:val="646464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3ED"/>
    <w:pPr>
      <w:keepNext/>
      <w:keepLines/>
      <w:spacing w:after="0"/>
      <w:outlineLvl w:val="8"/>
    </w:pPr>
    <w:rPr>
      <w:rFonts w:eastAsiaTheme="majorEastAsia" w:cstheme="majorBidi"/>
      <w:color w:val="64646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5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5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3E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3E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3ED"/>
    <w:rPr>
      <w:rFonts w:eastAsiaTheme="majorEastAsia" w:cstheme="majorBidi"/>
      <w:i/>
      <w:iCs/>
      <w:color w:val="888888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3ED"/>
    <w:rPr>
      <w:rFonts w:eastAsiaTheme="majorEastAsia" w:cstheme="majorBidi"/>
      <w:color w:val="888888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3ED"/>
    <w:rPr>
      <w:rFonts w:eastAsiaTheme="majorEastAsia" w:cstheme="majorBidi"/>
      <w:i/>
      <w:iCs/>
      <w:color w:val="646464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3ED"/>
    <w:rPr>
      <w:rFonts w:eastAsiaTheme="majorEastAsia" w:cstheme="majorBidi"/>
      <w:color w:val="646464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3ED"/>
    <w:pPr>
      <w:numPr>
        <w:ilvl w:val="1"/>
      </w:numPr>
    </w:pPr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3ED"/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3ED"/>
    <w:pPr>
      <w:spacing w:before="160"/>
      <w:jc w:val="center"/>
    </w:pPr>
    <w:rPr>
      <w:i/>
      <w:iCs/>
      <w:color w:val="767676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3ED"/>
    <w:rPr>
      <w:i/>
      <w:iCs/>
      <w:color w:val="767676" w:themeColor="text1" w:themeTint="BF"/>
    </w:rPr>
  </w:style>
  <w:style w:type="paragraph" w:styleId="a7">
    <w:name w:val="List Paragraph"/>
    <w:basedOn w:val="a"/>
    <w:uiPriority w:val="34"/>
    <w:qFormat/>
    <w:rsid w:val="004A53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3E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3E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53E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47E08"/>
    <w:rPr>
      <w:color w:val="0563C1" w:themeColor="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847E08"/>
    <w:pPr>
      <w:spacing w:before="480" w:after="0" w:line="276" w:lineRule="auto"/>
      <w:jc w:val="center"/>
      <w:outlineLvl w:val="9"/>
    </w:pPr>
    <w:rPr>
      <w:rFonts w:ascii="Times New Roman" w:hAnsi="Times New Roman"/>
      <w:b/>
      <w:bCs/>
      <w:color w:val="auto"/>
      <w:kern w:val="0"/>
      <w:sz w:val="28"/>
      <w:szCs w:val="28"/>
      <w:lang w:eastAsia="ru-RU"/>
      <w14:ligatures w14:val="none"/>
    </w:rPr>
  </w:style>
  <w:style w:type="paragraph" w:styleId="11">
    <w:name w:val="toc 1"/>
    <w:next w:val="a"/>
    <w:autoRedefine/>
    <w:uiPriority w:val="39"/>
    <w:unhideWhenUsed/>
    <w:rsid w:val="00847E08"/>
    <w:pPr>
      <w:tabs>
        <w:tab w:val="right" w:leader="dot" w:pos="9629"/>
      </w:tabs>
      <w:spacing w:after="0" w:line="240" w:lineRule="auto"/>
    </w:pPr>
    <w:rPr>
      <w:rFonts w:ascii="Times New Roman" w:eastAsia="SimSun" w:hAnsi="Times New Roman" w:cstheme="minorHAnsi"/>
      <w:bCs/>
      <w:iCs/>
      <w:kern w:val="0"/>
      <w:sz w:val="28"/>
      <w:szCs w:val="20"/>
      <w:lang w:eastAsia="zh-CN" w:bidi="hi-IN"/>
      <w14:ligatures w14:val="none"/>
    </w:rPr>
  </w:style>
  <w:style w:type="paragraph" w:styleId="23">
    <w:name w:val="toc 2"/>
    <w:next w:val="a"/>
    <w:autoRedefine/>
    <w:uiPriority w:val="39"/>
    <w:unhideWhenUsed/>
    <w:rsid w:val="00847E08"/>
    <w:pPr>
      <w:spacing w:after="0" w:line="240" w:lineRule="auto"/>
      <w:ind w:left="280"/>
      <w:jc w:val="both"/>
    </w:pPr>
    <w:rPr>
      <w:rFonts w:ascii="Times New Roman" w:eastAsia="SimSun" w:hAnsi="Times New Roman" w:cstheme="minorHAnsi"/>
      <w:bCs/>
      <w:kern w:val="0"/>
      <w:sz w:val="28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494949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Vad</dc:creator>
  <cp:keywords/>
  <dc:description/>
  <cp:lastModifiedBy>Artem Vad</cp:lastModifiedBy>
  <cp:revision>5</cp:revision>
  <dcterms:created xsi:type="dcterms:W3CDTF">2025-09-20T19:03:00Z</dcterms:created>
  <dcterms:modified xsi:type="dcterms:W3CDTF">2025-10-30T05:34:00Z</dcterms:modified>
</cp:coreProperties>
</file>