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E2FC" w14:textId="77777777" w:rsidR="00DC31CB" w:rsidRDefault="00DC31CB">
      <w:pPr>
        <w:spacing w:before="1440" w:after="240"/>
        <w:jc w:val="center"/>
        <w:rPr>
          <w:b/>
          <w:bCs/>
          <w:color w:val="1F4E79"/>
          <w:sz w:val="40"/>
          <w:szCs w:val="40"/>
        </w:rPr>
      </w:pPr>
    </w:p>
    <w:p w14:paraId="0AAE03F5" w14:textId="77777777" w:rsidR="002117A0" w:rsidRDefault="002117A0">
      <w:pPr>
        <w:spacing w:after="240"/>
        <w:jc w:val="center"/>
        <w:rPr>
          <w:rFonts w:asciiTheme="majorBidi" w:hAnsiTheme="majorBidi" w:cstheme="majorBidi"/>
          <w:b/>
          <w:bCs/>
          <w:color w:val="501000"/>
          <w:sz w:val="40"/>
          <w:szCs w:val="40"/>
        </w:rPr>
      </w:pPr>
    </w:p>
    <w:p w14:paraId="6827CE8E" w14:textId="77777777" w:rsidR="002117A0" w:rsidRDefault="002117A0">
      <w:pPr>
        <w:spacing w:after="240"/>
        <w:jc w:val="center"/>
        <w:rPr>
          <w:rFonts w:asciiTheme="majorBidi" w:hAnsiTheme="majorBidi" w:cstheme="majorBidi"/>
          <w:b/>
          <w:bCs/>
          <w:color w:val="501000"/>
          <w:sz w:val="40"/>
          <w:szCs w:val="40"/>
        </w:rPr>
      </w:pPr>
    </w:p>
    <w:p w14:paraId="67A574EA" w14:textId="50DA7783" w:rsidR="00DC31CB" w:rsidRPr="00DC31CB" w:rsidRDefault="00DC31CB">
      <w:pPr>
        <w:spacing w:after="240"/>
        <w:jc w:val="center"/>
        <w:rPr>
          <w:rFonts w:asciiTheme="majorBidi" w:hAnsiTheme="majorBidi" w:cstheme="majorBidi"/>
          <w:b/>
          <w:bCs/>
          <w:color w:val="501000"/>
          <w:sz w:val="40"/>
          <w:szCs w:val="40"/>
        </w:rPr>
      </w:pPr>
      <w:r w:rsidRPr="00DC31CB">
        <w:rPr>
          <w:rFonts w:asciiTheme="majorBidi" w:hAnsiTheme="majorBidi" w:cstheme="majorBidi"/>
          <w:b/>
          <w:bCs/>
          <w:color w:val="501000"/>
          <w:sz w:val="40"/>
          <w:szCs w:val="40"/>
        </w:rPr>
        <w:t xml:space="preserve">Final Project Milestone 1 </w:t>
      </w:r>
    </w:p>
    <w:p w14:paraId="7E5A78AE" w14:textId="319CCE5C" w:rsidR="00E44054" w:rsidRPr="00DC31CB" w:rsidRDefault="00000000">
      <w:pPr>
        <w:spacing w:after="240"/>
        <w:jc w:val="center"/>
        <w:rPr>
          <w:rFonts w:asciiTheme="majorBidi" w:hAnsiTheme="majorBidi" w:cstheme="majorBidi"/>
          <w:b/>
          <w:bCs/>
          <w:color w:val="501000"/>
          <w:sz w:val="40"/>
          <w:szCs w:val="40"/>
        </w:rPr>
      </w:pPr>
      <w:r w:rsidRPr="00DC31CB">
        <w:rPr>
          <w:rFonts w:asciiTheme="majorBidi" w:hAnsiTheme="majorBidi" w:cstheme="majorBidi"/>
          <w:b/>
          <w:bCs/>
          <w:color w:val="501000"/>
          <w:sz w:val="40"/>
          <w:szCs w:val="40"/>
        </w:rPr>
        <w:t xml:space="preserve">Toronto </w:t>
      </w:r>
      <w:proofErr w:type="spellStart"/>
      <w:r w:rsidRPr="00DC31CB">
        <w:rPr>
          <w:rFonts w:asciiTheme="majorBidi" w:hAnsiTheme="majorBidi" w:cstheme="majorBidi"/>
          <w:b/>
          <w:bCs/>
          <w:color w:val="501000"/>
          <w:sz w:val="40"/>
          <w:szCs w:val="40"/>
        </w:rPr>
        <w:t>BodySafe</w:t>
      </w:r>
      <w:proofErr w:type="spellEnd"/>
      <w:r w:rsidRPr="00DC31CB">
        <w:rPr>
          <w:rFonts w:asciiTheme="majorBidi" w:hAnsiTheme="majorBidi" w:cstheme="majorBidi"/>
          <w:b/>
          <w:bCs/>
          <w:color w:val="501000"/>
          <w:sz w:val="40"/>
          <w:szCs w:val="40"/>
        </w:rPr>
        <w:t xml:space="preserve"> Public Health Inspections</w:t>
      </w:r>
    </w:p>
    <w:p w14:paraId="7784AE32" w14:textId="1BA9AAE7" w:rsidR="00DC31CB" w:rsidRPr="00DC31CB" w:rsidRDefault="00DC31CB">
      <w:pPr>
        <w:spacing w:after="240"/>
        <w:jc w:val="center"/>
        <w:rPr>
          <w:rFonts w:asciiTheme="majorBidi" w:hAnsiTheme="majorBidi" w:cstheme="majorBidi"/>
          <w:i/>
          <w:iCs/>
          <w:color w:val="747474" w:themeColor="background2" w:themeShade="80"/>
          <w:sz w:val="24"/>
          <w:szCs w:val="24"/>
        </w:rPr>
      </w:pPr>
      <w:r w:rsidRPr="00DC31CB">
        <w:rPr>
          <w:rFonts w:asciiTheme="majorBidi" w:hAnsiTheme="majorBidi" w:cstheme="majorBidi"/>
          <w:i/>
          <w:iCs/>
          <w:color w:val="747474" w:themeColor="background2" w:themeShade="80"/>
          <w:sz w:val="24"/>
          <w:szCs w:val="24"/>
        </w:rPr>
        <w:t>Prepared by: Fatemeh Shahabdehkordi</w:t>
      </w:r>
    </w:p>
    <w:p w14:paraId="6FD4A916" w14:textId="77777777" w:rsidR="00E44054" w:rsidRPr="00DC31CB" w:rsidRDefault="00000000">
      <w:pPr>
        <w:spacing w:before="240" w:after="120"/>
        <w:jc w:val="center"/>
        <w:rPr>
          <w:rFonts w:asciiTheme="majorBidi" w:hAnsiTheme="majorBidi" w:cstheme="majorBidi"/>
        </w:rPr>
      </w:pPr>
      <w:r w:rsidRPr="00DC31CB">
        <w:rPr>
          <w:rFonts w:asciiTheme="majorBidi" w:hAnsiTheme="majorBidi" w:cstheme="majorBidi"/>
          <w:i/>
          <w:iCs/>
          <w:color w:val="555555"/>
          <w:sz w:val="24"/>
          <w:szCs w:val="24"/>
        </w:rPr>
        <w:t>City of Toronto Open Data Portal</w:t>
      </w:r>
    </w:p>
    <w:p w14:paraId="4C67B730" w14:textId="77777777" w:rsidR="00E44054" w:rsidRPr="00DC31CB" w:rsidRDefault="00000000">
      <w:pPr>
        <w:spacing w:before="60" w:after="1440"/>
        <w:jc w:val="center"/>
        <w:rPr>
          <w:rFonts w:asciiTheme="majorBidi" w:hAnsiTheme="majorBidi" w:cstheme="majorBidi"/>
        </w:rPr>
      </w:pPr>
      <w:r w:rsidRPr="00DC31CB">
        <w:rPr>
          <w:rFonts w:asciiTheme="majorBidi" w:hAnsiTheme="majorBidi" w:cstheme="majorBidi"/>
          <w:color w:val="555555"/>
        </w:rPr>
        <w:t>April 2026</w:t>
      </w:r>
    </w:p>
    <w:p w14:paraId="05628E42" w14:textId="4A9BE8F7" w:rsidR="00E44054" w:rsidRPr="00DC31CB" w:rsidRDefault="00000000" w:rsidP="00DC31CB">
      <w:pPr>
        <w:rPr>
          <w:rFonts w:asciiTheme="majorBidi" w:hAnsiTheme="majorBidi" w:cstheme="majorBidi"/>
          <w:b/>
          <w:bCs/>
          <w:color w:val="501000"/>
          <w:sz w:val="28"/>
          <w:szCs w:val="28"/>
        </w:rPr>
      </w:pPr>
      <w:r>
        <w:br w:type="page"/>
      </w:r>
      <w:r w:rsidR="00DC31CB" w:rsidRPr="00DC31CB">
        <w:rPr>
          <w:rFonts w:asciiTheme="majorBidi" w:hAnsiTheme="majorBidi" w:cstheme="majorBidi"/>
          <w:b/>
          <w:bCs/>
          <w:color w:val="501000"/>
          <w:sz w:val="28"/>
          <w:szCs w:val="28"/>
        </w:rPr>
        <w:lastRenderedPageBreak/>
        <w:t>1.</w:t>
      </w:r>
      <w:r w:rsidRPr="00DC31CB">
        <w:rPr>
          <w:rFonts w:asciiTheme="majorBidi" w:hAnsiTheme="majorBidi" w:cstheme="majorBidi"/>
          <w:b/>
          <w:bCs/>
          <w:color w:val="501000"/>
          <w:sz w:val="28"/>
          <w:szCs w:val="28"/>
        </w:rPr>
        <w:t>Introduction</w:t>
      </w:r>
    </w:p>
    <w:p w14:paraId="30F83BB1" w14:textId="77777777" w:rsidR="00E44054" w:rsidRPr="00DC31CB" w:rsidRDefault="00000000">
      <w:pPr>
        <w:pStyle w:val="Heading2"/>
        <w:rPr>
          <w:rFonts w:asciiTheme="majorBidi" w:hAnsiTheme="majorBidi" w:cstheme="majorBidi"/>
          <w:color w:val="A20000"/>
        </w:rPr>
      </w:pPr>
      <w:r w:rsidRPr="00DC31CB">
        <w:rPr>
          <w:rFonts w:asciiTheme="majorBidi" w:hAnsiTheme="majorBidi" w:cstheme="majorBidi"/>
          <w:color w:val="A20000"/>
        </w:rPr>
        <w:t>1.1 Dataset Overview</w:t>
      </w:r>
    </w:p>
    <w:p w14:paraId="3E16B43E" w14:textId="5A7D5FBB" w:rsidR="00E44054" w:rsidRPr="00DC31CB" w:rsidRDefault="00000000">
      <w:pPr>
        <w:spacing w:before="80" w:after="120" w:line="276" w:lineRule="auto"/>
        <w:jc w:val="both"/>
        <w:rPr>
          <w:rFonts w:asciiTheme="majorBidi" w:hAnsiTheme="majorBidi" w:cstheme="majorBidi"/>
        </w:rPr>
      </w:pPr>
      <w:r w:rsidRPr="00DC31CB">
        <w:rPr>
          <w:rFonts w:asciiTheme="majorBidi" w:hAnsiTheme="majorBidi" w:cstheme="majorBidi"/>
        </w:rPr>
        <w:t xml:space="preserve">This report presents an Exploratory Data Analysis (EDA) of the Toronto </w:t>
      </w:r>
      <w:proofErr w:type="spellStart"/>
      <w:r w:rsidRPr="00DC31CB">
        <w:rPr>
          <w:rFonts w:asciiTheme="majorBidi" w:hAnsiTheme="majorBidi" w:cstheme="majorBidi"/>
        </w:rPr>
        <w:t>BodySafe</w:t>
      </w:r>
      <w:proofErr w:type="spellEnd"/>
      <w:r w:rsidRPr="00DC31CB">
        <w:rPr>
          <w:rFonts w:asciiTheme="majorBidi" w:hAnsiTheme="majorBidi" w:cstheme="majorBidi"/>
        </w:rPr>
        <w:t xml:space="preserve"> Public Health Inspection dataset, sourced from the City of Toronto's Open Data Portal (open.toronto.ca). The </w:t>
      </w:r>
      <w:proofErr w:type="spellStart"/>
      <w:r w:rsidRPr="00DC31CB">
        <w:rPr>
          <w:rFonts w:asciiTheme="majorBidi" w:hAnsiTheme="majorBidi" w:cstheme="majorBidi"/>
        </w:rPr>
        <w:t>BodySafe</w:t>
      </w:r>
      <w:proofErr w:type="spellEnd"/>
      <w:r w:rsidRPr="00DC31CB">
        <w:rPr>
          <w:rFonts w:asciiTheme="majorBidi" w:hAnsiTheme="majorBidi" w:cstheme="majorBidi"/>
        </w:rPr>
        <w:t xml:space="preserve"> program is administered by Toronto Public Health and regulates personal service settings (PSS)</w:t>
      </w:r>
      <w:r w:rsidR="00DC31CB" w:rsidRPr="00DC31CB">
        <w:rPr>
          <w:rFonts w:asciiTheme="majorBidi" w:hAnsiTheme="majorBidi" w:cstheme="majorBidi"/>
        </w:rPr>
        <w:t xml:space="preserve">. </w:t>
      </w:r>
      <w:r w:rsidRPr="00DC31CB">
        <w:rPr>
          <w:rFonts w:asciiTheme="majorBidi" w:hAnsiTheme="majorBidi" w:cstheme="majorBidi"/>
        </w:rPr>
        <w:t xml:space="preserve"> </w:t>
      </w:r>
      <w:r w:rsidR="00DC31CB" w:rsidRPr="00DC31CB">
        <w:rPr>
          <w:rFonts w:asciiTheme="majorBidi" w:hAnsiTheme="majorBidi" w:cstheme="majorBidi"/>
        </w:rPr>
        <w:t>B</w:t>
      </w:r>
      <w:r w:rsidRPr="00DC31CB">
        <w:rPr>
          <w:rFonts w:asciiTheme="majorBidi" w:hAnsiTheme="majorBidi" w:cstheme="majorBidi"/>
        </w:rPr>
        <w:t xml:space="preserve">usinesses such as hair salons, nail studios, </w:t>
      </w:r>
      <w:r w:rsidR="00DC31CB" w:rsidRPr="00DC31CB">
        <w:rPr>
          <w:rFonts w:asciiTheme="majorBidi" w:hAnsiTheme="majorBidi" w:cstheme="majorBidi"/>
        </w:rPr>
        <w:t>tattoos, body</w:t>
      </w:r>
      <w:r w:rsidRPr="00DC31CB">
        <w:rPr>
          <w:rFonts w:asciiTheme="majorBidi" w:hAnsiTheme="majorBidi" w:cstheme="majorBidi"/>
        </w:rPr>
        <w:t xml:space="preserve"> piercing establishments, aesthetics clinics</w:t>
      </w:r>
      <w:r w:rsidR="00DC31CB" w:rsidRPr="00DC31CB">
        <w:rPr>
          <w:rFonts w:asciiTheme="majorBidi" w:hAnsiTheme="majorBidi" w:cstheme="majorBidi"/>
        </w:rPr>
        <w:t xml:space="preserve"> </w:t>
      </w:r>
      <w:r w:rsidRPr="00DC31CB">
        <w:rPr>
          <w:rFonts w:asciiTheme="majorBidi" w:hAnsiTheme="majorBidi" w:cstheme="majorBidi"/>
        </w:rPr>
        <w:t>and micropigmentation studios operating within the City of Toronto.</w:t>
      </w:r>
    </w:p>
    <w:p w14:paraId="07C84565" w14:textId="4719CF44" w:rsidR="00E44054" w:rsidRPr="00DC31CB" w:rsidRDefault="00000000">
      <w:pPr>
        <w:spacing w:before="80" w:after="120" w:line="276" w:lineRule="auto"/>
        <w:jc w:val="both"/>
        <w:rPr>
          <w:rFonts w:asciiTheme="majorBidi" w:hAnsiTheme="majorBidi" w:cstheme="majorBidi"/>
        </w:rPr>
      </w:pPr>
      <w:r w:rsidRPr="00DC31CB">
        <w:rPr>
          <w:rFonts w:asciiTheme="majorBidi" w:hAnsiTheme="majorBidi" w:cstheme="majorBidi"/>
        </w:rPr>
        <w:t xml:space="preserve">These establishments are subject to inspection under Ontario Regulation 136/18 of the Health Protection and Promotion Act. Inspectors assess compliance across ten regulated categories covering equipment sterilization, hygiene, record-keeping and sanitary conditions. The dataset was originally distributed in </w:t>
      </w:r>
      <w:proofErr w:type="spellStart"/>
      <w:r w:rsidRPr="00DC31CB">
        <w:rPr>
          <w:rFonts w:asciiTheme="majorBidi" w:hAnsiTheme="majorBidi" w:cstheme="majorBidi"/>
        </w:rPr>
        <w:t>GeoJSON</w:t>
      </w:r>
      <w:proofErr w:type="spellEnd"/>
      <w:r w:rsidRPr="00DC31CB">
        <w:rPr>
          <w:rFonts w:asciiTheme="majorBidi" w:hAnsiTheme="majorBidi" w:cstheme="majorBidi"/>
        </w:rPr>
        <w:t xml:space="preserve"> format and converted to CSV for analysis. It contains 11,915 inspection records spanning from April 2022 to April 2026, across 17 original fields (reduced to 14 after cleaning).</w:t>
      </w:r>
    </w:p>
    <w:p w14:paraId="291AEE83" w14:textId="77777777" w:rsidR="00E44054" w:rsidRPr="00BB7D87" w:rsidRDefault="00000000">
      <w:pPr>
        <w:pStyle w:val="Heading2"/>
        <w:rPr>
          <w:color w:val="A20000"/>
        </w:rPr>
      </w:pPr>
      <w:r w:rsidRPr="00BB7D87">
        <w:rPr>
          <w:color w:val="A20000"/>
        </w:rPr>
        <w:t>1.2 Purpose and Motivation</w:t>
      </w:r>
    </w:p>
    <w:p w14:paraId="093CE19F" w14:textId="739D9149" w:rsidR="00E44054" w:rsidRPr="00DC31CB" w:rsidRDefault="00000000">
      <w:pPr>
        <w:spacing w:before="80" w:after="120" w:line="276" w:lineRule="auto"/>
        <w:jc w:val="both"/>
        <w:rPr>
          <w:rFonts w:asciiTheme="majorBidi" w:hAnsiTheme="majorBidi" w:cstheme="majorBidi"/>
        </w:rPr>
      </w:pPr>
      <w:r w:rsidRPr="00DC31CB">
        <w:rPr>
          <w:rFonts w:asciiTheme="majorBidi" w:hAnsiTheme="majorBidi" w:cstheme="majorBidi"/>
        </w:rPr>
        <w:t xml:space="preserve">The </w:t>
      </w:r>
      <w:proofErr w:type="spellStart"/>
      <w:r w:rsidRPr="00DC31CB">
        <w:rPr>
          <w:rFonts w:asciiTheme="majorBidi" w:hAnsiTheme="majorBidi" w:cstheme="majorBidi"/>
        </w:rPr>
        <w:t>BodySafe</w:t>
      </w:r>
      <w:proofErr w:type="spellEnd"/>
      <w:r w:rsidRPr="00DC31CB">
        <w:rPr>
          <w:rFonts w:asciiTheme="majorBidi" w:hAnsiTheme="majorBidi" w:cstheme="majorBidi"/>
        </w:rPr>
        <w:t xml:space="preserve"> dataset was selected for this analysis because it sits at the intersection of public health regulation and data analytics a domain with real-world implications for infection prevention. Unlike commonly analyzed datasets (e.g., </w:t>
      </w:r>
      <w:proofErr w:type="spellStart"/>
      <w:r w:rsidRPr="00DC31CB">
        <w:rPr>
          <w:rFonts w:asciiTheme="majorBidi" w:hAnsiTheme="majorBidi" w:cstheme="majorBidi"/>
        </w:rPr>
        <w:t>DineSafe</w:t>
      </w:r>
      <w:proofErr w:type="spellEnd"/>
      <w:r w:rsidRPr="00DC31CB">
        <w:rPr>
          <w:rFonts w:asciiTheme="majorBidi" w:hAnsiTheme="majorBidi" w:cstheme="majorBidi"/>
        </w:rPr>
        <w:t xml:space="preserve">, traffic volumes, crime statistics), </w:t>
      </w:r>
      <w:proofErr w:type="spellStart"/>
      <w:r w:rsidRPr="00DC31CB">
        <w:rPr>
          <w:rFonts w:asciiTheme="majorBidi" w:hAnsiTheme="majorBidi" w:cstheme="majorBidi"/>
        </w:rPr>
        <w:t>BodySafe</w:t>
      </w:r>
      <w:proofErr w:type="spellEnd"/>
      <w:r w:rsidRPr="00DC31CB">
        <w:rPr>
          <w:rFonts w:asciiTheme="majorBidi" w:hAnsiTheme="majorBidi" w:cstheme="majorBidi"/>
        </w:rPr>
        <w:t xml:space="preserve"> has not been widely studied in academic or data science communities, making it an original and meaningful choice.</w:t>
      </w:r>
    </w:p>
    <w:p w14:paraId="7FA855EB" w14:textId="77777777" w:rsidR="00E44054" w:rsidRDefault="00E44054">
      <w:pPr>
        <w:spacing w:after="120"/>
      </w:pPr>
    </w:p>
    <w:p w14:paraId="77F50B4F" w14:textId="77777777" w:rsidR="00E44054" w:rsidRPr="00BB7D87" w:rsidRDefault="00000000">
      <w:pPr>
        <w:spacing w:before="80" w:after="120" w:line="276" w:lineRule="auto"/>
        <w:jc w:val="both"/>
        <w:rPr>
          <w:rFonts w:asciiTheme="majorBidi" w:hAnsiTheme="majorBidi" w:cstheme="majorBidi"/>
        </w:rPr>
      </w:pPr>
      <w:r w:rsidRPr="00BB7D87">
        <w:rPr>
          <w:rFonts w:asciiTheme="majorBidi" w:hAnsiTheme="majorBidi" w:cstheme="majorBidi"/>
        </w:rPr>
        <w:t>The primary objectives of this analysis are:</w:t>
      </w:r>
    </w:p>
    <w:p w14:paraId="0EBFC81E" w14:textId="77777777" w:rsidR="00E44054" w:rsidRPr="00BB7D87" w:rsidRDefault="00000000">
      <w:pPr>
        <w:pStyle w:val="ListParagraph"/>
        <w:numPr>
          <w:ilvl w:val="0"/>
          <w:numId w:val="2"/>
        </w:numPr>
        <w:spacing w:before="60" w:after="60"/>
        <w:rPr>
          <w:rFonts w:asciiTheme="majorBidi" w:hAnsiTheme="majorBidi" w:cstheme="majorBidi"/>
        </w:rPr>
      </w:pPr>
      <w:r w:rsidRPr="00BB7D87">
        <w:rPr>
          <w:rFonts w:asciiTheme="majorBidi" w:hAnsiTheme="majorBidi" w:cstheme="majorBidi"/>
        </w:rPr>
        <w:t>To understand the overall compliance landscape across Toronto's personal service sector</w:t>
      </w:r>
    </w:p>
    <w:p w14:paraId="6E6CE875" w14:textId="501C865B" w:rsidR="00E44054" w:rsidRPr="00BB7D87" w:rsidRDefault="00000000">
      <w:pPr>
        <w:pStyle w:val="ListParagraph"/>
        <w:numPr>
          <w:ilvl w:val="0"/>
          <w:numId w:val="2"/>
        </w:numPr>
        <w:spacing w:before="60" w:after="60"/>
        <w:rPr>
          <w:rFonts w:asciiTheme="majorBidi" w:hAnsiTheme="majorBidi" w:cstheme="majorBidi"/>
        </w:rPr>
      </w:pPr>
      <w:r w:rsidRPr="00BB7D87">
        <w:rPr>
          <w:rFonts w:asciiTheme="majorBidi" w:hAnsiTheme="majorBidi" w:cstheme="majorBidi"/>
        </w:rPr>
        <w:t xml:space="preserve">To identify which service </w:t>
      </w:r>
      <w:r w:rsidR="00BB7D87" w:rsidRPr="00BB7D87">
        <w:rPr>
          <w:rFonts w:asciiTheme="majorBidi" w:hAnsiTheme="majorBidi" w:cstheme="majorBidi"/>
        </w:rPr>
        <w:t>types,</w:t>
      </w:r>
      <w:r w:rsidRPr="00BB7D87">
        <w:rPr>
          <w:rFonts w:asciiTheme="majorBidi" w:hAnsiTheme="majorBidi" w:cstheme="majorBidi"/>
        </w:rPr>
        <w:t xml:space="preserve"> pose the greatest public health risk based on infraction rates and severity</w:t>
      </w:r>
    </w:p>
    <w:p w14:paraId="631ECE3B" w14:textId="77777777" w:rsidR="00E44054" w:rsidRPr="00BB7D87" w:rsidRDefault="00000000">
      <w:pPr>
        <w:pStyle w:val="ListParagraph"/>
        <w:numPr>
          <w:ilvl w:val="0"/>
          <w:numId w:val="2"/>
        </w:numPr>
        <w:spacing w:before="60" w:after="60"/>
        <w:rPr>
          <w:rFonts w:asciiTheme="majorBidi" w:hAnsiTheme="majorBidi" w:cstheme="majorBidi"/>
        </w:rPr>
      </w:pPr>
      <w:r w:rsidRPr="00BB7D87">
        <w:rPr>
          <w:rFonts w:asciiTheme="majorBidi" w:hAnsiTheme="majorBidi" w:cstheme="majorBidi"/>
        </w:rPr>
        <w:t>To detect temporal trends in inspection activity and compliance from 2022 to 2026</w:t>
      </w:r>
    </w:p>
    <w:p w14:paraId="2FDAA5D8" w14:textId="77777777" w:rsidR="00E44054" w:rsidRPr="00BB7D87" w:rsidRDefault="00000000">
      <w:pPr>
        <w:pStyle w:val="ListParagraph"/>
        <w:numPr>
          <w:ilvl w:val="0"/>
          <w:numId w:val="2"/>
        </w:numPr>
        <w:spacing w:before="60" w:after="60"/>
        <w:rPr>
          <w:rFonts w:asciiTheme="majorBidi" w:hAnsiTheme="majorBidi" w:cstheme="majorBidi"/>
        </w:rPr>
      </w:pPr>
      <w:r w:rsidRPr="00BB7D87">
        <w:rPr>
          <w:rFonts w:asciiTheme="majorBidi" w:hAnsiTheme="majorBidi" w:cstheme="majorBidi"/>
        </w:rPr>
        <w:t>To identify establishments with persistent non-compliance patterns</w:t>
      </w:r>
    </w:p>
    <w:p w14:paraId="72192555" w14:textId="77777777" w:rsidR="00E44054" w:rsidRDefault="00000000">
      <w:pPr>
        <w:pStyle w:val="ListParagraph"/>
        <w:numPr>
          <w:ilvl w:val="0"/>
          <w:numId w:val="2"/>
        </w:numPr>
        <w:spacing w:before="60" w:after="60"/>
      </w:pPr>
      <w:r w:rsidRPr="00BB7D87">
        <w:rPr>
          <w:rFonts w:asciiTheme="majorBidi" w:hAnsiTheme="majorBidi" w:cstheme="majorBidi"/>
        </w:rPr>
        <w:t>To compare infection-risk (blood/skin-penetrating) services against lower-risk services</w:t>
      </w:r>
    </w:p>
    <w:p w14:paraId="49BA343A" w14:textId="77777777" w:rsidR="00E44054" w:rsidRDefault="00E44054">
      <w:pPr>
        <w:spacing w:after="120"/>
      </w:pPr>
    </w:p>
    <w:p w14:paraId="077262C6" w14:textId="77777777" w:rsidR="00E44054" w:rsidRPr="00BB7D87" w:rsidRDefault="00000000">
      <w:pPr>
        <w:pStyle w:val="Heading2"/>
        <w:rPr>
          <w:rFonts w:asciiTheme="majorBidi" w:hAnsiTheme="majorBidi" w:cstheme="majorBidi"/>
          <w:color w:val="A20000"/>
        </w:rPr>
      </w:pPr>
      <w:r w:rsidRPr="00BB7D87">
        <w:rPr>
          <w:rFonts w:asciiTheme="majorBidi" w:hAnsiTheme="majorBidi" w:cstheme="majorBidi"/>
          <w:color w:val="A20000"/>
        </w:rPr>
        <w:t>1.3 Dataset Description</w:t>
      </w:r>
    </w:p>
    <w:p w14:paraId="4A440744" w14:textId="016B48A6" w:rsidR="00E44054" w:rsidRPr="00BB7D87" w:rsidRDefault="00000000" w:rsidP="00BB7D87">
      <w:pPr>
        <w:spacing w:before="80" w:after="120" w:line="276" w:lineRule="auto"/>
        <w:jc w:val="both"/>
        <w:rPr>
          <w:rFonts w:asciiTheme="majorBidi" w:hAnsiTheme="majorBidi" w:cstheme="majorBidi"/>
        </w:rPr>
      </w:pPr>
      <w:r w:rsidRPr="00BB7D87">
        <w:rPr>
          <w:rFonts w:asciiTheme="majorBidi" w:hAnsiTheme="majorBidi" w:cstheme="majorBidi"/>
        </w:rPr>
        <w:t xml:space="preserve">The dataset contains a mix of data types including categorical, text, date, numeric, and geographic fields. </w:t>
      </w:r>
    </w:p>
    <w:p w14:paraId="21CFAD4E" w14:textId="0BCEB7BD" w:rsidR="00E44054" w:rsidRDefault="00E44054" w:rsidP="00BB7D87">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44054" w14:paraId="0C21BFFB"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37385025" w14:textId="77777777" w:rsidR="00E44054" w:rsidRPr="00E24F55" w:rsidRDefault="00000000">
            <w:pPr>
              <w:rPr>
                <w:rFonts w:asciiTheme="majorBidi" w:hAnsiTheme="majorBidi" w:cstheme="majorBidi"/>
              </w:rPr>
            </w:pPr>
            <w:r w:rsidRPr="00E24F55">
              <w:rPr>
                <w:rFonts w:asciiTheme="majorBidi" w:hAnsiTheme="majorBidi" w:cstheme="majorBidi"/>
                <w:b/>
                <w:bCs/>
                <w:sz w:val="20"/>
                <w:szCs w:val="20"/>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066767DF" w14:textId="77777777" w:rsidR="00E44054" w:rsidRPr="00E24F55" w:rsidRDefault="00000000">
            <w:pPr>
              <w:rPr>
                <w:rFonts w:asciiTheme="majorBidi" w:hAnsiTheme="majorBidi" w:cstheme="majorBidi"/>
              </w:rPr>
            </w:pPr>
            <w:r w:rsidRPr="00E24F55">
              <w:rPr>
                <w:rFonts w:asciiTheme="majorBidi" w:hAnsiTheme="majorBidi" w:cstheme="majorBidi"/>
                <w:b/>
                <w:bCs/>
                <w:sz w:val="20"/>
                <w:szCs w:val="20"/>
              </w:rPr>
              <w:t>Data Type</w:t>
            </w:r>
          </w:p>
        </w:tc>
        <w:tc>
          <w:tcPr>
            <w:tcW w:w="576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480893FA" w14:textId="77777777" w:rsidR="00E44054" w:rsidRPr="00E24F55" w:rsidRDefault="00000000">
            <w:pPr>
              <w:rPr>
                <w:rFonts w:asciiTheme="majorBidi" w:hAnsiTheme="majorBidi" w:cstheme="majorBidi"/>
              </w:rPr>
            </w:pPr>
            <w:r w:rsidRPr="00E24F55">
              <w:rPr>
                <w:rFonts w:asciiTheme="majorBidi" w:hAnsiTheme="majorBidi" w:cstheme="majorBidi"/>
                <w:b/>
                <w:bCs/>
                <w:sz w:val="20"/>
                <w:szCs w:val="20"/>
              </w:rPr>
              <w:t>Description</w:t>
            </w:r>
          </w:p>
        </w:tc>
      </w:tr>
      <w:tr w:rsidR="00E44054" w14:paraId="1A1DA0A2"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5CEB1B7"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X_id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846F6D"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4B3A069"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Sequential row identifier (1 to 11,915)</w:t>
            </w:r>
          </w:p>
        </w:tc>
      </w:tr>
      <w:tr w:rsidR="00E44054" w14:paraId="633E8144"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A81B13"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estId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2398E5"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AD5FBC"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 xml:space="preserve">Unique establishment identifier assigned by the </w:t>
            </w:r>
            <w:proofErr w:type="gramStart"/>
            <w:r w:rsidRPr="00E24F55">
              <w:rPr>
                <w:rFonts w:asciiTheme="majorBidi" w:hAnsiTheme="majorBidi" w:cstheme="majorBidi"/>
                <w:sz w:val="20"/>
                <w:szCs w:val="20"/>
              </w:rPr>
              <w:t>City</w:t>
            </w:r>
            <w:proofErr w:type="gramEnd"/>
          </w:p>
        </w:tc>
      </w:tr>
      <w:tr w:rsidR="00E44054" w14:paraId="15770388"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F202F7"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estName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268A1D6"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155BFE"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Registered business name of the establishment</w:t>
            </w:r>
          </w:p>
        </w:tc>
      </w:tr>
      <w:tr w:rsidR="00E44054" w14:paraId="0EBDEB13"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1CF2D62"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addrFull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0CCC30"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A022123"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Full civic address of the establishment</w:t>
            </w:r>
          </w:p>
        </w:tc>
      </w:tr>
      <w:tr w:rsidR="00E44054" w14:paraId="3EB30768"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EFE396"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lastRenderedPageBreak/>
              <w:t>srvType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BFAC75C"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Categorical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BEF468"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Type of personal service (8 categories: Aesthetics, Barbering &amp; Hairdressing, Nails, Tattooing, Micropigmentation/Microblading, Body Piercing, Ear Piercing, Injectable Personal Services)</w:t>
            </w:r>
          </w:p>
        </w:tc>
      </w:tr>
      <w:tr w:rsidR="00E44054" w14:paraId="5068EB1A"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5300183"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insStatus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B6EB89"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Categorical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76C4CD"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Outcome of inspection: Pass, Conditional Pass, or Closed</w:t>
            </w:r>
          </w:p>
        </w:tc>
      </w:tr>
      <w:tr w:rsidR="00E44054" w14:paraId="1CBE1898"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101D62"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insDate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94429BE"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Date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7024281"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Date the inspection was conducted (2022-04-12 to 2026-04-13)</w:t>
            </w:r>
          </w:p>
        </w:tc>
      </w:tr>
      <w:tr w:rsidR="00E44054" w14:paraId="595F1551"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3C24EDE"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observation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05877B6"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CF54B86"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 xml:space="preserve">Inspector's written field </w:t>
            </w:r>
            <w:proofErr w:type="gramStart"/>
            <w:r w:rsidRPr="00E24F55">
              <w:rPr>
                <w:rFonts w:asciiTheme="majorBidi" w:hAnsiTheme="majorBidi" w:cstheme="majorBidi"/>
                <w:sz w:val="20"/>
                <w:szCs w:val="20"/>
              </w:rPr>
              <w:t>notes;</w:t>
            </w:r>
            <w:proofErr w:type="gramEnd"/>
            <w:r w:rsidRPr="00E24F55">
              <w:rPr>
                <w:rFonts w:asciiTheme="majorBidi" w:hAnsiTheme="majorBidi" w:cstheme="majorBidi"/>
                <w:sz w:val="20"/>
                <w:szCs w:val="20"/>
              </w:rPr>
              <w:t xml:space="preserve"> NA if no infractions found</w:t>
            </w:r>
          </w:p>
        </w:tc>
      </w:tr>
      <w:tr w:rsidR="00E44054" w14:paraId="70893F17"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FC1A2C3"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infCategory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28DE09E"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Categorical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EED5B5"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Category of infraction cited (10 categories); NA = no infraction</w:t>
            </w:r>
          </w:p>
        </w:tc>
      </w:tr>
      <w:tr w:rsidR="00E44054" w14:paraId="109C1644"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465A5A"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defDesc</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05186C"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86A606"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Full text description of the infraction found; NA if none</w:t>
            </w:r>
          </w:p>
        </w:tc>
      </w:tr>
      <w:tr w:rsidR="00E44054" w14:paraId="0D9C4E5F"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F0ED943"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infType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B1BFC7"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Categorical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916E000"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Severity of infraction: C-Crucial, S-Significant, or NA</w:t>
            </w:r>
          </w:p>
        </w:tc>
      </w:tr>
      <w:tr w:rsidR="00E44054" w14:paraId="7EAB8B54"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0775B58" w14:textId="77777777" w:rsidR="00E44054" w:rsidRPr="00E24F55" w:rsidRDefault="00000000">
            <w:pPr>
              <w:rPr>
                <w:rFonts w:asciiTheme="majorBidi" w:hAnsiTheme="majorBidi" w:cstheme="majorBidi"/>
              </w:rPr>
            </w:pPr>
            <w:proofErr w:type="spellStart"/>
            <w:r w:rsidRPr="00E24F55">
              <w:rPr>
                <w:rFonts w:asciiTheme="majorBidi" w:hAnsiTheme="majorBidi" w:cstheme="majorBidi"/>
                <w:sz w:val="20"/>
                <w:szCs w:val="20"/>
              </w:rPr>
              <w:t>actionDesc</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F807B9"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4D2C5B"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Enforcement action taken (e.g., Notice to Comply, Verbal Order, Ticket)</w:t>
            </w:r>
          </w:p>
        </w:tc>
      </w:tr>
      <w:tr w:rsidR="00E44054" w14:paraId="77D83B56"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0D017D"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longitude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BFEE883"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Numeric</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2AA3BC"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Geographic longitude coordinate of the establishment</w:t>
            </w:r>
          </w:p>
        </w:tc>
      </w:tr>
      <w:tr w:rsidR="00E44054" w14:paraId="33CFF033" w14:textId="77777777" w:rsidTr="00BB7D8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693C7E"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latitude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9427722"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Numeric</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5E10028" w14:textId="77777777" w:rsidR="00E44054" w:rsidRPr="00E24F55" w:rsidRDefault="00000000">
            <w:pPr>
              <w:rPr>
                <w:rFonts w:asciiTheme="majorBidi" w:hAnsiTheme="majorBidi" w:cstheme="majorBidi"/>
              </w:rPr>
            </w:pPr>
            <w:r w:rsidRPr="00E24F55">
              <w:rPr>
                <w:rFonts w:asciiTheme="majorBidi" w:hAnsiTheme="majorBidi" w:cstheme="majorBidi"/>
                <w:sz w:val="20"/>
                <w:szCs w:val="20"/>
              </w:rPr>
              <w:t>Geographic latitude coordinate of the establishment</w:t>
            </w:r>
          </w:p>
        </w:tc>
      </w:tr>
    </w:tbl>
    <w:p w14:paraId="4B3E9D0F" w14:textId="77777777" w:rsidR="00E44054" w:rsidRDefault="00E44054">
      <w:pPr>
        <w:spacing w:after="240"/>
      </w:pPr>
    </w:p>
    <w:p w14:paraId="3C1C1BB2" w14:textId="77777777" w:rsidR="00E44054" w:rsidRPr="00E24F55" w:rsidRDefault="00000000">
      <w:pPr>
        <w:pStyle w:val="Heading2"/>
        <w:rPr>
          <w:color w:val="A20000"/>
        </w:rPr>
      </w:pPr>
      <w:r w:rsidRPr="00E24F55">
        <w:rPr>
          <w:color w:val="A20000"/>
        </w:rPr>
        <w:t>1.4 Data Cleaning</w:t>
      </w:r>
    </w:p>
    <w:p w14:paraId="1D5F4DF0" w14:textId="77777777" w:rsidR="00E44054" w:rsidRDefault="00000000">
      <w:pPr>
        <w:spacing w:before="80" w:after="120" w:line="276" w:lineRule="auto"/>
        <w:jc w:val="both"/>
      </w:pPr>
      <w:r>
        <w:t xml:space="preserve">The raw </w:t>
      </w:r>
      <w:proofErr w:type="spellStart"/>
      <w:r>
        <w:t>GeoJSON</w:t>
      </w:r>
      <w:proofErr w:type="spellEnd"/>
      <w:r>
        <w:t xml:space="preserve"> file was first converted to CSV format, with latitude and longitude coordinates extracted from the geometry field. Upon loading into R, several data quality issues were identified and addressed:</w:t>
      </w:r>
    </w:p>
    <w:p w14:paraId="6C3DB498" w14:textId="77777777" w:rsidR="00E44054" w:rsidRDefault="00E44054">
      <w:pPr>
        <w:spacing w:after="120"/>
      </w:pPr>
    </w:p>
    <w:p w14:paraId="16462534" w14:textId="77777777" w:rsidR="00E44054" w:rsidRPr="00D82782" w:rsidRDefault="00000000">
      <w:pPr>
        <w:pStyle w:val="ListParagraph"/>
        <w:numPr>
          <w:ilvl w:val="0"/>
          <w:numId w:val="2"/>
        </w:numPr>
        <w:spacing w:before="60" w:after="60"/>
        <w:rPr>
          <w:rFonts w:asciiTheme="majorBidi" w:hAnsiTheme="majorBidi" w:cstheme="majorBidi"/>
        </w:rPr>
      </w:pPr>
      <w:r w:rsidRPr="00D82782">
        <w:rPr>
          <w:rFonts w:asciiTheme="majorBidi" w:hAnsiTheme="majorBidi" w:cstheme="majorBidi"/>
        </w:rPr>
        <w:t xml:space="preserve">Date conversion: The </w:t>
      </w:r>
      <w:proofErr w:type="spellStart"/>
      <w:r w:rsidRPr="00D82782">
        <w:rPr>
          <w:rFonts w:asciiTheme="majorBidi" w:hAnsiTheme="majorBidi" w:cstheme="majorBidi"/>
        </w:rPr>
        <w:t>insDate</w:t>
      </w:r>
      <w:proofErr w:type="spellEnd"/>
      <w:r w:rsidRPr="00D82782">
        <w:rPr>
          <w:rFonts w:asciiTheme="majorBidi" w:hAnsiTheme="majorBidi" w:cstheme="majorBidi"/>
        </w:rPr>
        <w:t xml:space="preserve"> column was stored as a character string and converted to R's Date class using </w:t>
      </w:r>
      <w:proofErr w:type="spellStart"/>
      <w:proofErr w:type="gramStart"/>
      <w:r w:rsidRPr="00D82782">
        <w:rPr>
          <w:rFonts w:asciiTheme="majorBidi" w:hAnsiTheme="majorBidi" w:cstheme="majorBidi"/>
        </w:rPr>
        <w:t>as.Date</w:t>
      </w:r>
      <w:proofErr w:type="spellEnd"/>
      <w:proofErr w:type="gramEnd"/>
      <w:r w:rsidRPr="00D82782">
        <w:rPr>
          <w:rFonts w:asciiTheme="majorBidi" w:hAnsiTheme="majorBidi" w:cstheme="majorBidi"/>
        </w:rPr>
        <w:t>(), enabling time-based analysis.</w:t>
      </w:r>
    </w:p>
    <w:p w14:paraId="1C0E0AA5" w14:textId="77777777" w:rsidR="00E44054" w:rsidRPr="00D82782" w:rsidRDefault="00000000">
      <w:pPr>
        <w:pStyle w:val="ListParagraph"/>
        <w:numPr>
          <w:ilvl w:val="0"/>
          <w:numId w:val="2"/>
        </w:numPr>
        <w:spacing w:before="60" w:after="60"/>
        <w:rPr>
          <w:rFonts w:asciiTheme="majorBidi" w:hAnsiTheme="majorBidi" w:cstheme="majorBidi"/>
        </w:rPr>
      </w:pPr>
      <w:r w:rsidRPr="00D82782">
        <w:rPr>
          <w:rFonts w:asciiTheme="majorBidi" w:hAnsiTheme="majorBidi" w:cstheme="majorBidi"/>
        </w:rPr>
        <w:t xml:space="preserve">None string replacement: Five columns (observation, </w:t>
      </w:r>
      <w:proofErr w:type="spellStart"/>
      <w:r w:rsidRPr="00D82782">
        <w:rPr>
          <w:rFonts w:asciiTheme="majorBidi" w:hAnsiTheme="majorBidi" w:cstheme="majorBidi"/>
        </w:rPr>
        <w:t>infCategory</w:t>
      </w:r>
      <w:proofErr w:type="spellEnd"/>
      <w:r w:rsidRPr="00D82782">
        <w:rPr>
          <w:rFonts w:asciiTheme="majorBidi" w:hAnsiTheme="majorBidi" w:cstheme="majorBidi"/>
        </w:rPr>
        <w:t xml:space="preserve">, </w:t>
      </w:r>
      <w:proofErr w:type="spellStart"/>
      <w:r w:rsidRPr="00D82782">
        <w:rPr>
          <w:rFonts w:asciiTheme="majorBidi" w:hAnsiTheme="majorBidi" w:cstheme="majorBidi"/>
        </w:rPr>
        <w:t>defDesc</w:t>
      </w:r>
      <w:proofErr w:type="spellEnd"/>
      <w:r w:rsidRPr="00D82782">
        <w:rPr>
          <w:rFonts w:asciiTheme="majorBidi" w:hAnsiTheme="majorBidi" w:cstheme="majorBidi"/>
        </w:rPr>
        <w:t xml:space="preserve">, </w:t>
      </w:r>
      <w:proofErr w:type="spellStart"/>
      <w:r w:rsidRPr="00D82782">
        <w:rPr>
          <w:rFonts w:asciiTheme="majorBidi" w:hAnsiTheme="majorBidi" w:cstheme="majorBidi"/>
        </w:rPr>
        <w:t>infType</w:t>
      </w:r>
      <w:proofErr w:type="spellEnd"/>
      <w:r w:rsidRPr="00D82782">
        <w:rPr>
          <w:rFonts w:asciiTheme="majorBidi" w:hAnsiTheme="majorBidi" w:cstheme="majorBidi"/>
        </w:rPr>
        <w:t xml:space="preserve">, </w:t>
      </w:r>
      <w:proofErr w:type="spellStart"/>
      <w:r w:rsidRPr="00D82782">
        <w:rPr>
          <w:rFonts w:asciiTheme="majorBidi" w:hAnsiTheme="majorBidi" w:cstheme="majorBidi"/>
        </w:rPr>
        <w:t>actionDesc</w:t>
      </w:r>
      <w:proofErr w:type="spellEnd"/>
      <w:r w:rsidRPr="00D82782">
        <w:rPr>
          <w:rFonts w:asciiTheme="majorBidi" w:hAnsiTheme="majorBidi" w:cstheme="majorBidi"/>
        </w:rPr>
        <w:t xml:space="preserve">) used the string "None" to represent missing values. These were replaced with proper NA values using </w:t>
      </w:r>
      <w:proofErr w:type="gramStart"/>
      <w:r w:rsidRPr="00D82782">
        <w:rPr>
          <w:rFonts w:asciiTheme="majorBidi" w:hAnsiTheme="majorBidi" w:cstheme="majorBidi"/>
        </w:rPr>
        <w:t>mutate(across(</w:t>
      </w:r>
      <w:proofErr w:type="gramEnd"/>
      <w:r w:rsidRPr="00D82782">
        <w:rPr>
          <w:rFonts w:asciiTheme="majorBidi" w:hAnsiTheme="majorBidi" w:cstheme="majorBidi"/>
        </w:rPr>
        <w:t xml:space="preserve">..., function(x) </w:t>
      </w:r>
      <w:proofErr w:type="spellStart"/>
      <w:proofErr w:type="gramStart"/>
      <w:r w:rsidRPr="00D82782">
        <w:rPr>
          <w:rFonts w:asciiTheme="majorBidi" w:hAnsiTheme="majorBidi" w:cstheme="majorBidi"/>
        </w:rPr>
        <w:t>ifelse</w:t>
      </w:r>
      <w:proofErr w:type="spellEnd"/>
      <w:r w:rsidRPr="00D82782">
        <w:rPr>
          <w:rFonts w:asciiTheme="majorBidi" w:hAnsiTheme="majorBidi" w:cstheme="majorBidi"/>
        </w:rPr>
        <w:t>(</w:t>
      </w:r>
      <w:proofErr w:type="gramEnd"/>
      <w:r w:rsidRPr="00D82782">
        <w:rPr>
          <w:rFonts w:asciiTheme="majorBidi" w:hAnsiTheme="majorBidi" w:cstheme="majorBidi"/>
        </w:rPr>
        <w:t xml:space="preserve">x == "None", NA, </w:t>
      </w:r>
      <w:proofErr w:type="gramStart"/>
      <w:r w:rsidRPr="00D82782">
        <w:rPr>
          <w:rFonts w:asciiTheme="majorBidi" w:hAnsiTheme="majorBidi" w:cstheme="majorBidi"/>
        </w:rPr>
        <w:t>x))</w:t>
      </w:r>
      <w:proofErr w:type="gramEnd"/>
      <w:r w:rsidRPr="00D82782">
        <w:rPr>
          <w:rFonts w:asciiTheme="majorBidi" w:hAnsiTheme="majorBidi" w:cstheme="majorBidi"/>
        </w:rPr>
        <w:t xml:space="preserve">). This was critical because R functions such as </w:t>
      </w:r>
      <w:proofErr w:type="gramStart"/>
      <w:r w:rsidRPr="00D82782">
        <w:rPr>
          <w:rFonts w:asciiTheme="majorBidi" w:hAnsiTheme="majorBidi" w:cstheme="majorBidi"/>
        </w:rPr>
        <w:t>is.na(</w:t>
      </w:r>
      <w:proofErr w:type="gramEnd"/>
      <w:r w:rsidRPr="00D82782">
        <w:rPr>
          <w:rFonts w:asciiTheme="majorBidi" w:hAnsiTheme="majorBidi" w:cstheme="majorBidi"/>
        </w:rPr>
        <w:t xml:space="preserve">), </w:t>
      </w:r>
      <w:proofErr w:type="gramStart"/>
      <w:r w:rsidRPr="00D82782">
        <w:rPr>
          <w:rFonts w:asciiTheme="majorBidi" w:hAnsiTheme="majorBidi" w:cstheme="majorBidi"/>
        </w:rPr>
        <w:t>filter(</w:t>
      </w:r>
      <w:proofErr w:type="gramEnd"/>
      <w:r w:rsidRPr="00D82782">
        <w:rPr>
          <w:rFonts w:asciiTheme="majorBidi" w:hAnsiTheme="majorBidi" w:cstheme="majorBidi"/>
        </w:rPr>
        <w:t xml:space="preserve">), and </w:t>
      </w:r>
      <w:proofErr w:type="gramStart"/>
      <w:r w:rsidRPr="00D82782">
        <w:rPr>
          <w:rFonts w:asciiTheme="majorBidi" w:hAnsiTheme="majorBidi" w:cstheme="majorBidi"/>
        </w:rPr>
        <w:t>sum(</w:t>
      </w:r>
      <w:proofErr w:type="gramEnd"/>
      <w:r w:rsidRPr="00D82782">
        <w:rPr>
          <w:rFonts w:asciiTheme="majorBidi" w:hAnsiTheme="majorBidi" w:cstheme="majorBidi"/>
        </w:rPr>
        <w:t>) only recognize NA, not arbitrary strings.</w:t>
      </w:r>
    </w:p>
    <w:p w14:paraId="61BB0BBE" w14:textId="2DBD6C0C" w:rsidR="00E44054" w:rsidRPr="00D82782" w:rsidRDefault="00000000">
      <w:pPr>
        <w:pStyle w:val="ListParagraph"/>
        <w:numPr>
          <w:ilvl w:val="0"/>
          <w:numId w:val="2"/>
        </w:numPr>
        <w:spacing w:before="60" w:after="60"/>
        <w:rPr>
          <w:rFonts w:asciiTheme="majorBidi" w:hAnsiTheme="majorBidi" w:cstheme="majorBidi"/>
        </w:rPr>
      </w:pPr>
      <w:r w:rsidRPr="00D82782">
        <w:rPr>
          <w:rFonts w:asciiTheme="majorBidi" w:hAnsiTheme="majorBidi" w:cstheme="majorBidi"/>
        </w:rPr>
        <w:t xml:space="preserve">Empty column removal: Three columns </w:t>
      </w:r>
      <w:proofErr w:type="gramStart"/>
      <w:r w:rsidR="00D82782">
        <w:rPr>
          <w:rFonts w:asciiTheme="majorBidi" w:hAnsiTheme="majorBidi" w:cstheme="majorBidi"/>
        </w:rPr>
        <w:t>[</w:t>
      </w:r>
      <w:r w:rsidRPr="00D82782">
        <w:rPr>
          <w:rFonts w:asciiTheme="majorBidi" w:hAnsiTheme="majorBidi" w:cstheme="majorBidi"/>
        </w:rPr>
        <w:t xml:space="preserve"> </w:t>
      </w:r>
      <w:proofErr w:type="spellStart"/>
      <w:r w:rsidRPr="00D82782">
        <w:rPr>
          <w:rFonts w:asciiTheme="majorBidi" w:hAnsiTheme="majorBidi" w:cstheme="majorBidi"/>
        </w:rPr>
        <w:t>OutcomeDate</w:t>
      </w:r>
      <w:proofErr w:type="spellEnd"/>
      <w:proofErr w:type="gramEnd"/>
      <w:r w:rsidRPr="00D82782">
        <w:rPr>
          <w:rFonts w:asciiTheme="majorBidi" w:hAnsiTheme="majorBidi" w:cstheme="majorBidi"/>
        </w:rPr>
        <w:t xml:space="preserve">, </w:t>
      </w:r>
      <w:proofErr w:type="spellStart"/>
      <w:r w:rsidRPr="00D82782">
        <w:rPr>
          <w:rFonts w:asciiTheme="majorBidi" w:hAnsiTheme="majorBidi" w:cstheme="majorBidi"/>
        </w:rPr>
        <w:t>OutcomeDesc</w:t>
      </w:r>
      <w:proofErr w:type="spellEnd"/>
      <w:r w:rsidRPr="00D82782">
        <w:rPr>
          <w:rFonts w:asciiTheme="majorBidi" w:hAnsiTheme="majorBidi" w:cstheme="majorBidi"/>
        </w:rPr>
        <w:t xml:space="preserve">, and </w:t>
      </w:r>
      <w:proofErr w:type="spellStart"/>
      <w:proofErr w:type="gramStart"/>
      <w:r w:rsidRPr="00D82782">
        <w:rPr>
          <w:rFonts w:asciiTheme="majorBidi" w:hAnsiTheme="majorBidi" w:cstheme="majorBidi"/>
        </w:rPr>
        <w:t>fineAmount</w:t>
      </w:r>
      <w:proofErr w:type="spellEnd"/>
      <w:r w:rsidRPr="00D82782">
        <w:rPr>
          <w:rFonts w:asciiTheme="majorBidi" w:hAnsiTheme="majorBidi" w:cstheme="majorBidi"/>
        </w:rPr>
        <w:t xml:space="preserve"> </w:t>
      </w:r>
      <w:r w:rsidR="00D82782">
        <w:rPr>
          <w:rFonts w:asciiTheme="majorBidi" w:hAnsiTheme="majorBidi" w:cstheme="majorBidi"/>
        </w:rPr>
        <w:t>]</w:t>
      </w:r>
      <w:proofErr w:type="gramEnd"/>
      <w:r w:rsidR="00D82782">
        <w:rPr>
          <w:rFonts w:asciiTheme="majorBidi" w:hAnsiTheme="majorBidi" w:cstheme="majorBidi"/>
        </w:rPr>
        <w:t xml:space="preserve"> </w:t>
      </w:r>
      <w:r w:rsidRPr="00D82782">
        <w:rPr>
          <w:rFonts w:asciiTheme="majorBidi" w:hAnsiTheme="majorBidi" w:cstheme="majorBidi"/>
        </w:rPr>
        <w:t xml:space="preserve">contained 100% missing values (11,915 NAs each) and were dropped entirely using </w:t>
      </w:r>
      <w:proofErr w:type="gramStart"/>
      <w:r w:rsidRPr="00D82782">
        <w:rPr>
          <w:rFonts w:asciiTheme="majorBidi" w:hAnsiTheme="majorBidi" w:cstheme="majorBidi"/>
        </w:rPr>
        <w:t>select(</w:t>
      </w:r>
      <w:proofErr w:type="gramEnd"/>
      <w:r w:rsidRPr="00D82782">
        <w:rPr>
          <w:rFonts w:asciiTheme="majorBidi" w:hAnsiTheme="majorBidi" w:cstheme="majorBidi"/>
        </w:rPr>
        <w:t>) to reduce noise.</w:t>
      </w:r>
    </w:p>
    <w:p w14:paraId="5FBE73E1" w14:textId="77777777" w:rsidR="00E44054" w:rsidRPr="00D82782" w:rsidRDefault="00000000">
      <w:pPr>
        <w:pStyle w:val="ListParagraph"/>
        <w:numPr>
          <w:ilvl w:val="0"/>
          <w:numId w:val="2"/>
        </w:numPr>
        <w:spacing w:before="60" w:after="60"/>
        <w:rPr>
          <w:rFonts w:asciiTheme="majorBidi" w:hAnsiTheme="majorBidi" w:cstheme="majorBidi"/>
        </w:rPr>
      </w:pPr>
      <w:r w:rsidRPr="00D82782">
        <w:rPr>
          <w:rFonts w:asciiTheme="majorBidi" w:hAnsiTheme="majorBidi" w:cstheme="majorBidi"/>
        </w:rPr>
        <w:t xml:space="preserve">Factor conversion: The categorical columns </w:t>
      </w:r>
      <w:proofErr w:type="spellStart"/>
      <w:r w:rsidRPr="00D82782">
        <w:rPr>
          <w:rFonts w:asciiTheme="majorBidi" w:hAnsiTheme="majorBidi" w:cstheme="majorBidi"/>
        </w:rPr>
        <w:t>insStatus</w:t>
      </w:r>
      <w:proofErr w:type="spellEnd"/>
      <w:r w:rsidRPr="00D82782">
        <w:rPr>
          <w:rFonts w:asciiTheme="majorBidi" w:hAnsiTheme="majorBidi" w:cstheme="majorBidi"/>
        </w:rPr>
        <w:t xml:space="preserve">, </w:t>
      </w:r>
      <w:proofErr w:type="spellStart"/>
      <w:r w:rsidRPr="00D82782">
        <w:rPr>
          <w:rFonts w:asciiTheme="majorBidi" w:hAnsiTheme="majorBidi" w:cstheme="majorBidi"/>
        </w:rPr>
        <w:t>srvType</w:t>
      </w:r>
      <w:proofErr w:type="spellEnd"/>
      <w:r w:rsidRPr="00D82782">
        <w:rPr>
          <w:rFonts w:asciiTheme="majorBidi" w:hAnsiTheme="majorBidi" w:cstheme="majorBidi"/>
        </w:rPr>
        <w:t xml:space="preserve">, </w:t>
      </w:r>
      <w:proofErr w:type="spellStart"/>
      <w:r w:rsidRPr="00D82782">
        <w:rPr>
          <w:rFonts w:asciiTheme="majorBidi" w:hAnsiTheme="majorBidi" w:cstheme="majorBidi"/>
        </w:rPr>
        <w:t>infType</w:t>
      </w:r>
      <w:proofErr w:type="spellEnd"/>
      <w:r w:rsidRPr="00D82782">
        <w:rPr>
          <w:rFonts w:asciiTheme="majorBidi" w:hAnsiTheme="majorBidi" w:cstheme="majorBidi"/>
        </w:rPr>
        <w:t xml:space="preserve">, and </w:t>
      </w:r>
      <w:proofErr w:type="spellStart"/>
      <w:r w:rsidRPr="00D82782">
        <w:rPr>
          <w:rFonts w:asciiTheme="majorBidi" w:hAnsiTheme="majorBidi" w:cstheme="majorBidi"/>
        </w:rPr>
        <w:t>infCategory</w:t>
      </w:r>
      <w:proofErr w:type="spellEnd"/>
      <w:r w:rsidRPr="00D82782">
        <w:rPr>
          <w:rFonts w:asciiTheme="majorBidi" w:hAnsiTheme="majorBidi" w:cstheme="majorBidi"/>
        </w:rPr>
        <w:t xml:space="preserve"> were converted from character to factor type, enabling proper grouping and visualization.</w:t>
      </w:r>
    </w:p>
    <w:p w14:paraId="2870623F" w14:textId="77777777" w:rsidR="00E44054" w:rsidRPr="00D82782" w:rsidRDefault="00000000">
      <w:pPr>
        <w:pStyle w:val="ListParagraph"/>
        <w:numPr>
          <w:ilvl w:val="0"/>
          <w:numId w:val="2"/>
        </w:numPr>
        <w:spacing w:before="60" w:after="60"/>
        <w:rPr>
          <w:rFonts w:asciiTheme="majorBidi" w:hAnsiTheme="majorBidi" w:cstheme="majorBidi"/>
        </w:rPr>
      </w:pPr>
      <w:r w:rsidRPr="00D82782">
        <w:rPr>
          <w:rFonts w:asciiTheme="majorBidi" w:hAnsiTheme="majorBidi" w:cstheme="majorBidi"/>
        </w:rPr>
        <w:t>Duplicate check: No exact duplicate rows were found (sum(duplicated(ds)) = 0). Establishments appearing multiple times represent legitimate separate inspection events across different dates or service types.</w:t>
      </w:r>
    </w:p>
    <w:p w14:paraId="7A75C6C0" w14:textId="77777777" w:rsidR="00E44054" w:rsidRPr="00D82782" w:rsidRDefault="00E44054">
      <w:pPr>
        <w:spacing w:after="120"/>
        <w:rPr>
          <w:rFonts w:asciiTheme="majorBidi" w:hAnsiTheme="majorBidi" w:cstheme="majorBidi"/>
        </w:rPr>
      </w:pPr>
    </w:p>
    <w:p w14:paraId="1356B8FA" w14:textId="77777777" w:rsidR="00E44054" w:rsidRPr="00A45EEC" w:rsidRDefault="00000000">
      <w:pPr>
        <w:spacing w:before="80" w:after="120" w:line="276" w:lineRule="auto"/>
        <w:jc w:val="both"/>
        <w:rPr>
          <w:rFonts w:asciiTheme="majorBidi" w:hAnsiTheme="majorBidi" w:cstheme="majorBidi"/>
        </w:rPr>
      </w:pPr>
      <w:r w:rsidRPr="00A45EEC">
        <w:rPr>
          <w:rFonts w:asciiTheme="majorBidi" w:hAnsiTheme="majorBidi" w:cstheme="majorBidi"/>
        </w:rPr>
        <w:t>After cleaning, the dataset retained 11,915 rows and 14 columns, with missing values appropriately represented as NA in the five infraction-related fields (reflecting inspections where no violations were found).</w:t>
      </w:r>
    </w:p>
    <w:p w14:paraId="6B4271DE" w14:textId="4A0E869F" w:rsidR="00E44054" w:rsidRPr="00A45EEC" w:rsidRDefault="00000000" w:rsidP="00A45EEC">
      <w:pPr>
        <w:rPr>
          <w:rFonts w:asciiTheme="majorBidi" w:hAnsiTheme="majorBidi" w:cstheme="majorBidi"/>
          <w:b/>
          <w:bCs/>
          <w:sz w:val="28"/>
          <w:szCs w:val="28"/>
        </w:rPr>
      </w:pPr>
      <w:r>
        <w:br w:type="page"/>
      </w:r>
      <w:r w:rsidRPr="00A45EEC">
        <w:rPr>
          <w:rFonts w:asciiTheme="majorBidi" w:hAnsiTheme="majorBidi" w:cstheme="majorBidi"/>
          <w:b/>
          <w:bCs/>
          <w:color w:val="501000"/>
          <w:sz w:val="28"/>
          <w:szCs w:val="28"/>
        </w:rPr>
        <w:lastRenderedPageBreak/>
        <w:t>2. Data Analysis</w:t>
      </w:r>
    </w:p>
    <w:p w14:paraId="6F1730BB" w14:textId="77777777" w:rsidR="00E44054" w:rsidRPr="00A45EEC" w:rsidRDefault="00000000">
      <w:pPr>
        <w:pStyle w:val="Heading2"/>
        <w:rPr>
          <w:rFonts w:asciiTheme="majorBidi" w:hAnsiTheme="majorBidi" w:cstheme="majorBidi"/>
          <w:color w:val="A20000"/>
        </w:rPr>
      </w:pPr>
      <w:r w:rsidRPr="00A45EEC">
        <w:rPr>
          <w:rFonts w:asciiTheme="majorBidi" w:hAnsiTheme="majorBidi" w:cstheme="majorBidi"/>
          <w:color w:val="A20000"/>
        </w:rPr>
        <w:t>2.1 Inspection Outcomes (Categorical Data)</w:t>
      </w:r>
    </w:p>
    <w:p w14:paraId="67B56EA4" w14:textId="77777777" w:rsidR="00E44054" w:rsidRPr="00A45EEC" w:rsidRDefault="00000000">
      <w:pPr>
        <w:spacing w:before="80" w:after="120" w:line="276" w:lineRule="auto"/>
        <w:jc w:val="both"/>
        <w:rPr>
          <w:rFonts w:asciiTheme="majorBidi" w:hAnsiTheme="majorBidi" w:cstheme="majorBidi"/>
        </w:rPr>
      </w:pPr>
      <w:r w:rsidRPr="00A45EEC">
        <w:rPr>
          <w:rFonts w:asciiTheme="majorBidi" w:hAnsiTheme="majorBidi" w:cstheme="majorBidi"/>
        </w:rPr>
        <w:t>The most fundamental question the dataset answers is: how often do personal service establishments pass their inspections? Table 2 and Figure 1 summarize the overall distribution of inspection outcomes across all 11,915 records.</w:t>
      </w:r>
    </w:p>
    <w:p w14:paraId="36627B65" w14:textId="77777777" w:rsidR="00E44054" w:rsidRPr="00A45EEC" w:rsidRDefault="00E44054">
      <w:pPr>
        <w:spacing w:after="120"/>
        <w:rPr>
          <w:rFonts w:asciiTheme="majorBidi" w:hAnsiTheme="majorBidi" w:cstheme="majorBidi"/>
        </w:rPr>
      </w:pPr>
    </w:p>
    <w:p w14:paraId="7B24A828" w14:textId="77777777" w:rsidR="00E44054" w:rsidRPr="00A45EEC" w:rsidRDefault="00000000">
      <w:pPr>
        <w:spacing w:before="120" w:after="60"/>
        <w:jc w:val="center"/>
        <w:rPr>
          <w:rFonts w:asciiTheme="majorBidi" w:hAnsiTheme="majorBidi" w:cstheme="majorBidi"/>
        </w:rPr>
      </w:pPr>
      <w:r w:rsidRPr="00A45EEC">
        <w:rPr>
          <w:rFonts w:asciiTheme="majorBidi" w:hAnsiTheme="majorBidi" w:cstheme="majorBidi"/>
          <w:b/>
          <w:bCs/>
          <w:i/>
          <w:iCs/>
          <w:sz w:val="20"/>
          <w:szCs w:val="20"/>
        </w:rPr>
        <w:t>Table 2: Overall Inspection Outcome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00"/>
        <w:gridCol w:w="3460"/>
      </w:tblGrid>
      <w:tr w:rsidR="00E44054" w:rsidRPr="00A45EEC" w14:paraId="23489F04" w14:textId="77777777" w:rsidTr="00A45EE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4853F7E6" w14:textId="77777777" w:rsidR="00E44054" w:rsidRPr="00A45EEC" w:rsidRDefault="00000000">
            <w:pPr>
              <w:rPr>
                <w:rFonts w:asciiTheme="majorBidi" w:hAnsiTheme="majorBidi" w:cstheme="majorBidi"/>
              </w:rPr>
            </w:pPr>
            <w:r w:rsidRPr="00A45EEC">
              <w:rPr>
                <w:rFonts w:asciiTheme="majorBidi" w:hAnsiTheme="majorBidi" w:cstheme="majorBidi"/>
                <w:b/>
                <w:bCs/>
                <w:sz w:val="20"/>
                <w:szCs w:val="20"/>
              </w:rPr>
              <w:t>Outcome</w:t>
            </w:r>
          </w:p>
        </w:tc>
        <w:tc>
          <w:tcPr>
            <w:tcW w:w="240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585A05A6" w14:textId="77777777" w:rsidR="00E44054" w:rsidRPr="00A45EEC" w:rsidRDefault="00000000">
            <w:pPr>
              <w:jc w:val="right"/>
              <w:rPr>
                <w:rFonts w:asciiTheme="majorBidi" w:hAnsiTheme="majorBidi" w:cstheme="majorBidi"/>
              </w:rPr>
            </w:pPr>
            <w:r w:rsidRPr="00A45EEC">
              <w:rPr>
                <w:rFonts w:asciiTheme="majorBidi" w:hAnsiTheme="majorBidi" w:cstheme="majorBidi"/>
                <w:b/>
                <w:bCs/>
                <w:sz w:val="20"/>
                <w:szCs w:val="20"/>
              </w:rPr>
              <w:t>Count</w:t>
            </w:r>
          </w:p>
        </w:tc>
        <w:tc>
          <w:tcPr>
            <w:tcW w:w="3460" w:type="dxa"/>
            <w:tcBorders>
              <w:top w:val="single" w:sz="1" w:space="0" w:color="AAAAAA"/>
              <w:left w:val="single" w:sz="1" w:space="0" w:color="AAAAAA"/>
              <w:bottom w:val="single" w:sz="1" w:space="0" w:color="AAAAAA"/>
              <w:right w:val="single" w:sz="1" w:space="0" w:color="AAAAAA"/>
            </w:tcBorders>
            <w:shd w:val="clear" w:color="auto" w:fill="501000"/>
            <w:tcMar>
              <w:top w:w="80" w:type="dxa"/>
              <w:left w:w="120" w:type="dxa"/>
              <w:bottom w:w="80" w:type="dxa"/>
              <w:right w:w="120" w:type="dxa"/>
            </w:tcMar>
          </w:tcPr>
          <w:p w14:paraId="10979C01" w14:textId="77777777" w:rsidR="00E44054" w:rsidRPr="00A45EEC" w:rsidRDefault="00000000">
            <w:pPr>
              <w:jc w:val="right"/>
              <w:rPr>
                <w:rFonts w:asciiTheme="majorBidi" w:hAnsiTheme="majorBidi" w:cstheme="majorBidi"/>
              </w:rPr>
            </w:pPr>
            <w:r w:rsidRPr="00A45EEC">
              <w:rPr>
                <w:rFonts w:asciiTheme="majorBidi" w:hAnsiTheme="majorBidi" w:cstheme="majorBidi"/>
                <w:b/>
                <w:bCs/>
                <w:sz w:val="20"/>
                <w:szCs w:val="20"/>
              </w:rPr>
              <w:t>Percentage</w:t>
            </w:r>
          </w:p>
        </w:tc>
      </w:tr>
      <w:tr w:rsidR="00E44054" w:rsidRPr="00A45EEC" w14:paraId="1DDDC036" w14:textId="77777777" w:rsidTr="00A45EE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4092F53" w14:textId="77777777" w:rsidR="00E44054" w:rsidRPr="00A45EEC" w:rsidRDefault="00000000">
            <w:pPr>
              <w:rPr>
                <w:rFonts w:asciiTheme="majorBidi" w:hAnsiTheme="majorBidi" w:cstheme="majorBidi"/>
              </w:rPr>
            </w:pPr>
            <w:r w:rsidRPr="00A45EEC">
              <w:rPr>
                <w:rFonts w:asciiTheme="majorBidi" w:hAnsiTheme="majorBidi" w:cstheme="majorBidi"/>
                <w:sz w:val="20"/>
                <w:szCs w:val="20"/>
              </w:rPr>
              <w:t>Pass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6958F2"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9,267</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78614ED"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77.78%</w:t>
            </w:r>
          </w:p>
        </w:tc>
      </w:tr>
      <w:tr w:rsidR="00E44054" w:rsidRPr="00A45EEC" w14:paraId="5A40F4B5" w14:textId="77777777" w:rsidTr="00A45EE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23919C" w14:textId="77777777" w:rsidR="00E44054" w:rsidRPr="00A45EEC" w:rsidRDefault="00000000">
            <w:pPr>
              <w:rPr>
                <w:rFonts w:asciiTheme="majorBidi" w:hAnsiTheme="majorBidi" w:cstheme="majorBidi"/>
              </w:rPr>
            </w:pPr>
            <w:r w:rsidRPr="00A45EEC">
              <w:rPr>
                <w:rFonts w:asciiTheme="majorBidi" w:hAnsiTheme="majorBidi" w:cstheme="majorBidi"/>
                <w:sz w:val="20"/>
                <w:szCs w:val="20"/>
              </w:rPr>
              <w:t>Conditional Pass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295FE23"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2,451</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F437734"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20.57%</w:t>
            </w:r>
          </w:p>
        </w:tc>
      </w:tr>
      <w:tr w:rsidR="00E44054" w:rsidRPr="00A45EEC" w14:paraId="096712E4" w14:textId="77777777" w:rsidTr="00A45EE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8F8B679" w14:textId="77777777" w:rsidR="00E44054" w:rsidRPr="00A45EEC" w:rsidRDefault="00000000">
            <w:pPr>
              <w:rPr>
                <w:rFonts w:asciiTheme="majorBidi" w:hAnsiTheme="majorBidi" w:cstheme="majorBidi"/>
              </w:rPr>
            </w:pPr>
            <w:r w:rsidRPr="00A45EEC">
              <w:rPr>
                <w:rFonts w:asciiTheme="majorBidi" w:hAnsiTheme="majorBidi" w:cstheme="majorBidi"/>
                <w:sz w:val="20"/>
                <w:szCs w:val="20"/>
              </w:rPr>
              <w:t>Closed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7CF6F4"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197</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1AD4EA" w14:textId="77777777" w:rsidR="00E44054" w:rsidRPr="00A45EEC" w:rsidRDefault="00000000">
            <w:pPr>
              <w:jc w:val="right"/>
              <w:rPr>
                <w:rFonts w:asciiTheme="majorBidi" w:hAnsiTheme="majorBidi" w:cstheme="majorBidi"/>
              </w:rPr>
            </w:pPr>
            <w:r w:rsidRPr="00A45EEC">
              <w:rPr>
                <w:rFonts w:asciiTheme="majorBidi" w:hAnsiTheme="majorBidi" w:cstheme="majorBidi"/>
                <w:sz w:val="20"/>
                <w:szCs w:val="20"/>
              </w:rPr>
              <w:t>1.65%</w:t>
            </w:r>
          </w:p>
        </w:tc>
      </w:tr>
      <w:tr w:rsidR="00E44054" w:rsidRPr="00A45EEC" w14:paraId="4B4B4558" w14:textId="77777777" w:rsidTr="00A45EE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4C6E4C" w14:textId="77777777" w:rsidR="00E44054" w:rsidRPr="00A45EEC" w:rsidRDefault="00000000">
            <w:pPr>
              <w:rPr>
                <w:rFonts w:asciiTheme="majorBidi" w:hAnsiTheme="majorBidi" w:cstheme="majorBidi"/>
              </w:rPr>
            </w:pPr>
            <w:r w:rsidRPr="00A45EEC">
              <w:rPr>
                <w:rFonts w:asciiTheme="majorBidi" w:hAnsiTheme="majorBidi" w:cstheme="majorBidi"/>
                <w:b/>
                <w:bCs/>
                <w:sz w:val="20"/>
                <w:szCs w:val="20"/>
              </w:rPr>
              <w:t>Total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9303FA9" w14:textId="77777777" w:rsidR="00E44054" w:rsidRPr="00A45EEC" w:rsidRDefault="00000000">
            <w:pPr>
              <w:jc w:val="right"/>
              <w:rPr>
                <w:rFonts w:asciiTheme="majorBidi" w:hAnsiTheme="majorBidi" w:cstheme="majorBidi"/>
              </w:rPr>
            </w:pPr>
            <w:r w:rsidRPr="00A45EEC">
              <w:rPr>
                <w:rFonts w:asciiTheme="majorBidi" w:hAnsiTheme="majorBidi" w:cstheme="majorBidi"/>
                <w:b/>
                <w:bCs/>
                <w:sz w:val="20"/>
                <w:szCs w:val="20"/>
              </w:rPr>
              <w:t>11,915</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B071F5F" w14:textId="77777777" w:rsidR="00E44054" w:rsidRPr="00A45EEC" w:rsidRDefault="00000000">
            <w:pPr>
              <w:jc w:val="right"/>
              <w:rPr>
                <w:rFonts w:asciiTheme="majorBidi" w:hAnsiTheme="majorBidi" w:cstheme="majorBidi"/>
              </w:rPr>
            </w:pPr>
            <w:r w:rsidRPr="00A45EEC">
              <w:rPr>
                <w:rFonts w:asciiTheme="majorBidi" w:hAnsiTheme="majorBidi" w:cstheme="majorBidi"/>
                <w:b/>
                <w:bCs/>
                <w:sz w:val="20"/>
                <w:szCs w:val="20"/>
              </w:rPr>
              <w:t>100%</w:t>
            </w:r>
          </w:p>
        </w:tc>
      </w:tr>
    </w:tbl>
    <w:p w14:paraId="21B025E6" w14:textId="77777777" w:rsidR="00E44054" w:rsidRPr="00A45EEC" w:rsidRDefault="00E44054">
      <w:pPr>
        <w:spacing w:after="120"/>
        <w:rPr>
          <w:rFonts w:asciiTheme="majorBidi" w:hAnsiTheme="majorBidi" w:cstheme="majorBidi"/>
        </w:rPr>
      </w:pPr>
    </w:p>
    <w:p w14:paraId="7DAAB5BA" w14:textId="563D49CD" w:rsidR="00E44054" w:rsidRPr="00A45EEC" w:rsidRDefault="00A45EEC">
      <w:pPr>
        <w:spacing w:before="80" w:after="120" w:line="276" w:lineRule="auto"/>
        <w:jc w:val="both"/>
        <w:rPr>
          <w:rFonts w:asciiTheme="majorBidi" w:hAnsiTheme="majorBidi" w:cstheme="majorBidi"/>
        </w:rPr>
      </w:pPr>
      <w:r w:rsidRPr="00A45EEC">
        <w:rPr>
          <w:rFonts w:asciiTheme="majorBidi" w:hAnsiTheme="majorBidi" w:cstheme="majorBidi"/>
        </w:rPr>
        <w:t>Most</w:t>
      </w:r>
      <w:r w:rsidR="00000000" w:rsidRPr="00A45EEC">
        <w:rPr>
          <w:rFonts w:asciiTheme="majorBidi" w:hAnsiTheme="majorBidi" w:cstheme="majorBidi"/>
        </w:rPr>
        <w:t xml:space="preserve"> </w:t>
      </w:r>
      <w:proofErr w:type="gramStart"/>
      <w:r w:rsidR="00000000" w:rsidRPr="00A45EEC">
        <w:rPr>
          <w:rFonts w:asciiTheme="majorBidi" w:hAnsiTheme="majorBidi" w:cstheme="majorBidi"/>
        </w:rPr>
        <w:t xml:space="preserve">inspections  </w:t>
      </w:r>
      <w:r>
        <w:rPr>
          <w:rFonts w:asciiTheme="majorBidi" w:hAnsiTheme="majorBidi" w:cstheme="majorBidi"/>
        </w:rPr>
        <w:t>(</w:t>
      </w:r>
      <w:proofErr w:type="gramEnd"/>
      <w:r w:rsidR="00000000" w:rsidRPr="00A45EEC">
        <w:rPr>
          <w:rFonts w:asciiTheme="majorBidi" w:hAnsiTheme="majorBidi" w:cstheme="majorBidi"/>
        </w:rPr>
        <w:t>77.78</w:t>
      </w:r>
      <w:proofErr w:type="gramStart"/>
      <w:r w:rsidR="00000000" w:rsidRPr="00A45EEC">
        <w:rPr>
          <w:rFonts w:asciiTheme="majorBidi" w:hAnsiTheme="majorBidi" w:cstheme="majorBidi"/>
        </w:rPr>
        <w:t xml:space="preserve">% </w:t>
      </w:r>
      <w:r>
        <w:rPr>
          <w:rFonts w:asciiTheme="majorBidi" w:hAnsiTheme="majorBidi" w:cstheme="majorBidi"/>
        </w:rPr>
        <w:t>)</w:t>
      </w:r>
      <w:proofErr w:type="gramEnd"/>
      <w:r>
        <w:rPr>
          <w:rFonts w:asciiTheme="majorBidi" w:hAnsiTheme="majorBidi" w:cstheme="majorBidi"/>
        </w:rPr>
        <w:t xml:space="preserve"> </w:t>
      </w:r>
      <w:r w:rsidR="00000000" w:rsidRPr="00A45EEC">
        <w:rPr>
          <w:rFonts w:asciiTheme="majorBidi" w:hAnsiTheme="majorBidi" w:cstheme="majorBidi"/>
        </w:rPr>
        <w:t>resulted in a Pass, indicating that most Toronto personal service establishments meet public health standards. However, approximately 1 in 5 inspections (20.57%) resulted in a Conditional Pass, meaning violations were found but were not severe enough to close the business. Establishments receiving a Conditional Pass are typically issued a Notice to Comply and re-inspected. The most severe outcome, Closed, affected 197 establishments (1.65%), indicating serious and immediate public health risk.</w:t>
      </w:r>
    </w:p>
    <w:p w14:paraId="190AA439" w14:textId="77777777" w:rsidR="00E44054" w:rsidRDefault="00E44054">
      <w:pPr>
        <w:spacing w:after="120"/>
      </w:pPr>
    </w:p>
    <w:p w14:paraId="484AD7BA" w14:textId="77777777" w:rsidR="00E44054" w:rsidRDefault="00000000">
      <w:pPr>
        <w:spacing w:before="120" w:after="60"/>
        <w:jc w:val="center"/>
      </w:pPr>
      <w:r>
        <w:rPr>
          <w:noProof/>
        </w:rPr>
        <w:drawing>
          <wp:inline distT="0" distB="0" distL="0" distR="0" wp14:anchorId="6BDEA31B" wp14:editId="4C3A6B32">
            <wp:extent cx="4858173" cy="303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83634" cy="3051359"/>
                    </a:xfrm>
                    <a:prstGeom prst="rect">
                      <a:avLst/>
                    </a:prstGeom>
                  </pic:spPr>
                </pic:pic>
              </a:graphicData>
            </a:graphic>
          </wp:inline>
        </w:drawing>
      </w:r>
    </w:p>
    <w:p w14:paraId="7A42DD2C" w14:textId="77777777" w:rsidR="00E44054" w:rsidRDefault="00000000">
      <w:pPr>
        <w:spacing w:after="160"/>
        <w:jc w:val="center"/>
      </w:pPr>
      <w:r>
        <w:rPr>
          <w:i/>
          <w:iCs/>
          <w:color w:val="555555"/>
          <w:sz w:val="18"/>
          <w:szCs w:val="18"/>
        </w:rPr>
        <w:t>Figure 1: Distribution of Inspection Outcomes (2022–2026)</w:t>
      </w:r>
    </w:p>
    <w:p w14:paraId="5D9E5196" w14:textId="77777777" w:rsidR="00A45EEC" w:rsidRDefault="00A45EEC">
      <w:pPr>
        <w:pStyle w:val="Heading2"/>
      </w:pPr>
    </w:p>
    <w:p w14:paraId="722BE2AF" w14:textId="4107A6FF" w:rsidR="00E44054" w:rsidRPr="00F907FA" w:rsidRDefault="00000000">
      <w:pPr>
        <w:pStyle w:val="Heading2"/>
        <w:rPr>
          <w:rFonts w:asciiTheme="majorBidi" w:hAnsiTheme="majorBidi" w:cstheme="majorBidi"/>
          <w:color w:val="590000"/>
        </w:rPr>
      </w:pPr>
      <w:r w:rsidRPr="00F907FA">
        <w:rPr>
          <w:rFonts w:asciiTheme="majorBidi" w:hAnsiTheme="majorBidi" w:cstheme="majorBidi"/>
          <w:color w:val="590000"/>
        </w:rPr>
        <w:t>2.2 Inspection Records by Service Type (Categorical Data)</w:t>
      </w:r>
    </w:p>
    <w:p w14:paraId="18A43D9A" w14:textId="77777777" w:rsidR="00E44054" w:rsidRPr="00F907FA" w:rsidRDefault="00000000">
      <w:pPr>
        <w:spacing w:before="80" w:after="120" w:line="276" w:lineRule="auto"/>
        <w:jc w:val="both"/>
        <w:rPr>
          <w:rFonts w:asciiTheme="majorBidi" w:hAnsiTheme="majorBidi" w:cstheme="majorBidi"/>
        </w:rPr>
      </w:pPr>
      <w:r w:rsidRPr="00F907FA">
        <w:rPr>
          <w:rFonts w:asciiTheme="majorBidi" w:hAnsiTheme="majorBidi" w:cstheme="majorBidi"/>
        </w:rPr>
        <w:t xml:space="preserve">Figure 2 displays the volume of inspection records by service type. Aesthetics (3,772), Barbering &amp; Hairdressing (3,651), and Nails (2,835) dominate the dataset, collectively accounting for 86.1% of all records. This is consistent with the distribution of personal service businesses across Toronto, where beauty salons and nail studios are far more numerous than </w:t>
      </w:r>
      <w:proofErr w:type="gramStart"/>
      <w:r w:rsidRPr="00F907FA">
        <w:rPr>
          <w:rFonts w:asciiTheme="majorBidi" w:hAnsiTheme="majorBidi" w:cstheme="majorBidi"/>
        </w:rPr>
        <w:t>tattoo</w:t>
      </w:r>
      <w:proofErr w:type="gramEnd"/>
      <w:r w:rsidRPr="00F907FA">
        <w:rPr>
          <w:rFonts w:asciiTheme="majorBidi" w:hAnsiTheme="majorBidi" w:cstheme="majorBidi"/>
        </w:rPr>
        <w:t xml:space="preserve"> or piercing </w:t>
      </w:r>
      <w:proofErr w:type="spellStart"/>
      <w:r w:rsidRPr="00F907FA">
        <w:rPr>
          <w:rFonts w:asciiTheme="majorBidi" w:hAnsiTheme="majorBidi" w:cstheme="majorBidi"/>
        </w:rPr>
        <w:t>parlours</w:t>
      </w:r>
      <w:proofErr w:type="spellEnd"/>
      <w:r w:rsidRPr="00F907FA">
        <w:rPr>
          <w:rFonts w:asciiTheme="majorBidi" w:hAnsiTheme="majorBidi" w:cstheme="majorBidi"/>
        </w:rPr>
        <w:t>.</w:t>
      </w:r>
    </w:p>
    <w:p w14:paraId="6FDBF151" w14:textId="77777777" w:rsidR="00E44054" w:rsidRDefault="00E44054">
      <w:pPr>
        <w:spacing w:after="120"/>
      </w:pPr>
    </w:p>
    <w:p w14:paraId="63C5AF5A" w14:textId="77777777" w:rsidR="00E44054" w:rsidRDefault="00000000">
      <w:pPr>
        <w:spacing w:before="120" w:after="60"/>
        <w:jc w:val="center"/>
      </w:pPr>
      <w:r>
        <w:rPr>
          <w:noProof/>
        </w:rPr>
        <w:drawing>
          <wp:inline distT="0" distB="0" distL="0" distR="0" wp14:anchorId="21EA0158" wp14:editId="29424CCF">
            <wp:extent cx="6372225" cy="4248150"/>
            <wp:effectExtent l="0" t="0" r="0" b="0"/>
            <wp:docPr id="572540155" name="Picture 57254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72225" cy="4248150"/>
                    </a:xfrm>
                    <a:prstGeom prst="rect">
                      <a:avLst/>
                    </a:prstGeom>
                  </pic:spPr>
                </pic:pic>
              </a:graphicData>
            </a:graphic>
          </wp:inline>
        </w:drawing>
      </w:r>
    </w:p>
    <w:p w14:paraId="31E50482" w14:textId="77777777" w:rsidR="00E44054" w:rsidRDefault="00000000">
      <w:pPr>
        <w:spacing w:after="160"/>
        <w:jc w:val="center"/>
      </w:pPr>
      <w:r>
        <w:rPr>
          <w:i/>
          <w:iCs/>
          <w:color w:val="555555"/>
          <w:sz w:val="18"/>
          <w:szCs w:val="18"/>
        </w:rPr>
        <w:t>Figure 2: Inspection Records by Service Type</w:t>
      </w:r>
    </w:p>
    <w:p w14:paraId="39EACFE2" w14:textId="77777777" w:rsidR="00E44054" w:rsidRDefault="00E44054">
      <w:pPr>
        <w:spacing w:after="120"/>
      </w:pPr>
    </w:p>
    <w:p w14:paraId="0035F715" w14:textId="079B9D9E" w:rsidR="00E44054" w:rsidRPr="00F907FA" w:rsidRDefault="00000000">
      <w:pPr>
        <w:spacing w:before="80" w:after="120" w:line="276" w:lineRule="auto"/>
        <w:jc w:val="both"/>
        <w:rPr>
          <w:rFonts w:asciiTheme="majorBidi" w:hAnsiTheme="majorBidi" w:cstheme="majorBidi"/>
        </w:rPr>
      </w:pPr>
      <w:r w:rsidRPr="00F907FA">
        <w:rPr>
          <w:rFonts w:asciiTheme="majorBidi" w:hAnsiTheme="majorBidi" w:cstheme="majorBidi"/>
        </w:rPr>
        <w:t xml:space="preserve">Injectable Personal Services (96 records) and Ear Piercing (184 records) represent the smallest categories. The volume disparity should be considered when interpreting compliance </w:t>
      </w:r>
      <w:r w:rsidR="002117A0" w:rsidRPr="00F907FA">
        <w:rPr>
          <w:rFonts w:asciiTheme="majorBidi" w:hAnsiTheme="majorBidi" w:cstheme="majorBidi"/>
        </w:rPr>
        <w:t>rates,</w:t>
      </w:r>
      <w:r w:rsidRPr="00F907FA">
        <w:rPr>
          <w:rFonts w:asciiTheme="majorBidi" w:hAnsiTheme="majorBidi" w:cstheme="majorBidi"/>
        </w:rPr>
        <w:t xml:space="preserve"> lower-volume categories may show more volatile statistics due to smaller sample sizes.</w:t>
      </w:r>
    </w:p>
    <w:p w14:paraId="31549C46" w14:textId="77777777" w:rsidR="00E44054" w:rsidRPr="00F907FA" w:rsidRDefault="00000000">
      <w:pPr>
        <w:pStyle w:val="Heading2"/>
        <w:rPr>
          <w:rFonts w:asciiTheme="majorBidi" w:hAnsiTheme="majorBidi" w:cstheme="majorBidi"/>
          <w:color w:val="590000"/>
        </w:rPr>
      </w:pPr>
      <w:r w:rsidRPr="00F907FA">
        <w:rPr>
          <w:rFonts w:asciiTheme="majorBidi" w:hAnsiTheme="majorBidi" w:cstheme="majorBidi"/>
          <w:color w:val="590000"/>
        </w:rPr>
        <w:t>2.3 Compliance Rate by Service Type</w:t>
      </w:r>
    </w:p>
    <w:p w14:paraId="15FBF363" w14:textId="77777777" w:rsidR="00E44054" w:rsidRPr="00F907FA" w:rsidRDefault="00000000">
      <w:pPr>
        <w:spacing w:before="80" w:after="120" w:line="276" w:lineRule="auto"/>
        <w:jc w:val="both"/>
        <w:rPr>
          <w:rFonts w:asciiTheme="majorBidi" w:hAnsiTheme="majorBidi" w:cstheme="majorBidi"/>
        </w:rPr>
      </w:pPr>
      <w:r w:rsidRPr="00F907FA">
        <w:rPr>
          <w:rFonts w:asciiTheme="majorBidi" w:hAnsiTheme="majorBidi" w:cstheme="majorBidi"/>
        </w:rPr>
        <w:lastRenderedPageBreak/>
        <w:t>Figure 3 presents a proportional stacked bar chart showing the compliance rate (Pass, Conditional Pass, Closed) for each service type. This visualization normalizes for volume, allowing fair comparison across categories of very different sizes.</w:t>
      </w:r>
    </w:p>
    <w:p w14:paraId="7DB4E98A" w14:textId="77777777" w:rsidR="00E44054" w:rsidRDefault="00E44054">
      <w:pPr>
        <w:spacing w:after="120"/>
      </w:pPr>
    </w:p>
    <w:p w14:paraId="20704567" w14:textId="77777777" w:rsidR="00E44054" w:rsidRDefault="00000000">
      <w:pPr>
        <w:spacing w:before="120" w:after="60"/>
        <w:jc w:val="center"/>
      </w:pPr>
      <w:r>
        <w:rPr>
          <w:noProof/>
        </w:rPr>
        <w:drawing>
          <wp:inline distT="0" distB="0" distL="0" distR="0" wp14:anchorId="6F8971BF" wp14:editId="06DD9058">
            <wp:extent cx="6372225" cy="3829050"/>
            <wp:effectExtent l="0" t="0" r="0" b="0"/>
            <wp:docPr id="1426992404" name="Picture 142699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72225" cy="3829050"/>
                    </a:xfrm>
                    <a:prstGeom prst="rect">
                      <a:avLst/>
                    </a:prstGeom>
                  </pic:spPr>
                </pic:pic>
              </a:graphicData>
            </a:graphic>
          </wp:inline>
        </w:drawing>
      </w:r>
    </w:p>
    <w:p w14:paraId="0E23340C" w14:textId="77777777" w:rsidR="00E44054" w:rsidRDefault="00000000">
      <w:pPr>
        <w:spacing w:after="160"/>
        <w:jc w:val="center"/>
      </w:pPr>
      <w:r>
        <w:rPr>
          <w:i/>
          <w:iCs/>
          <w:color w:val="555555"/>
          <w:sz w:val="18"/>
          <w:szCs w:val="18"/>
        </w:rPr>
        <w:t>Figure 3: Compliance Rate by Service Type (Proportional)</w:t>
      </w:r>
    </w:p>
    <w:p w14:paraId="7790699A" w14:textId="77777777" w:rsidR="00E44054" w:rsidRDefault="00E44054">
      <w:pPr>
        <w:spacing w:after="120"/>
      </w:pPr>
    </w:p>
    <w:p w14:paraId="7A303074" w14:textId="1A469BEA" w:rsidR="00E44054" w:rsidRPr="00F907FA" w:rsidRDefault="00000000">
      <w:pPr>
        <w:spacing w:before="80" w:after="120" w:line="276" w:lineRule="auto"/>
        <w:jc w:val="both"/>
        <w:rPr>
          <w:rFonts w:asciiTheme="majorBidi" w:hAnsiTheme="majorBidi" w:cstheme="majorBidi"/>
        </w:rPr>
      </w:pPr>
      <w:r w:rsidRPr="00F907FA">
        <w:rPr>
          <w:rFonts w:asciiTheme="majorBidi" w:hAnsiTheme="majorBidi" w:cstheme="majorBidi"/>
        </w:rPr>
        <w:t>Barbering &amp; Hairdressing achieved the highest pass rate (85.2%), followed by Ear Piercing (84.8</w:t>
      </w:r>
      <w:r w:rsidR="0038411E" w:rsidRPr="00F907FA">
        <w:rPr>
          <w:rFonts w:asciiTheme="majorBidi" w:hAnsiTheme="majorBidi" w:cstheme="majorBidi"/>
        </w:rPr>
        <w:t>%)</w:t>
      </w:r>
      <w:proofErr w:type="gramStart"/>
      <w:r w:rsidR="0038411E" w:rsidRPr="00F907FA">
        <w:rPr>
          <w:rFonts w:asciiTheme="majorBidi" w:hAnsiTheme="majorBidi" w:cstheme="majorBidi"/>
        </w:rPr>
        <w:t xml:space="preserve"> </w:t>
      </w:r>
      <w:r w:rsidR="0038411E">
        <w:rPr>
          <w:rFonts w:asciiTheme="majorBidi" w:hAnsiTheme="majorBidi" w:cstheme="majorBidi"/>
        </w:rPr>
        <w:t>both</w:t>
      </w:r>
      <w:proofErr w:type="gramEnd"/>
      <w:r w:rsidRPr="00F907FA">
        <w:rPr>
          <w:rFonts w:asciiTheme="majorBidi" w:hAnsiTheme="majorBidi" w:cstheme="majorBidi"/>
        </w:rPr>
        <w:t xml:space="preserve"> well above the overall average of 77.78%. In contrast, Body Piercing had the lowest pass rate at 62.9%, with a notably high closure rate of 13.1</w:t>
      </w:r>
      <w:r w:rsidR="0038411E" w:rsidRPr="00F907FA">
        <w:rPr>
          <w:rFonts w:asciiTheme="majorBidi" w:hAnsiTheme="majorBidi" w:cstheme="majorBidi"/>
        </w:rPr>
        <w:t>%,</w:t>
      </w:r>
      <w:r w:rsidRPr="00F907FA">
        <w:rPr>
          <w:rFonts w:asciiTheme="majorBidi" w:hAnsiTheme="majorBidi" w:cstheme="majorBidi"/>
        </w:rPr>
        <w:t xml:space="preserve"> the highest of any service type. This is a critical public health finding: body piercing involves skin penetration and carries a direct risk of bloodborne pathogen transmission when sterilization protocols are not followed.</w:t>
      </w:r>
    </w:p>
    <w:p w14:paraId="25BFC78E" w14:textId="77777777" w:rsidR="00E44054" w:rsidRPr="0038411E" w:rsidRDefault="00E44054">
      <w:pPr>
        <w:spacing w:after="120"/>
        <w:rPr>
          <w:rFonts w:asciiTheme="majorBidi" w:hAnsiTheme="majorBidi" w:cstheme="majorBidi"/>
        </w:rPr>
      </w:pPr>
    </w:p>
    <w:p w14:paraId="49575E57" w14:textId="77777777" w:rsidR="00E44054" w:rsidRPr="0038411E" w:rsidRDefault="00000000">
      <w:pPr>
        <w:spacing w:before="120" w:after="60"/>
        <w:jc w:val="center"/>
        <w:rPr>
          <w:rFonts w:asciiTheme="majorBidi" w:hAnsiTheme="majorBidi" w:cstheme="majorBidi"/>
        </w:rPr>
      </w:pPr>
      <w:r w:rsidRPr="0038411E">
        <w:rPr>
          <w:rFonts w:asciiTheme="majorBidi" w:hAnsiTheme="majorBidi" w:cstheme="majorBidi"/>
          <w:b/>
          <w:bCs/>
          <w:i/>
          <w:iCs/>
          <w:sz w:val="20"/>
          <w:szCs w:val="20"/>
        </w:rPr>
        <w:t>Table 3: Inspection Outcomes Summary by Service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907"/>
        <w:gridCol w:w="907"/>
        <w:gridCol w:w="1008"/>
        <w:gridCol w:w="907"/>
        <w:gridCol w:w="1108"/>
        <w:gridCol w:w="1572"/>
      </w:tblGrid>
      <w:tr w:rsidR="00E44054" w:rsidRPr="0038411E" w14:paraId="554D0D29"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37CAFB95" w14:textId="77777777" w:rsidR="00E44054" w:rsidRPr="0038411E" w:rsidRDefault="00000000">
            <w:pPr>
              <w:rPr>
                <w:rFonts w:asciiTheme="majorBidi" w:hAnsiTheme="majorBidi" w:cstheme="majorBidi"/>
              </w:rPr>
            </w:pPr>
            <w:r w:rsidRPr="0038411E">
              <w:rPr>
                <w:rFonts w:asciiTheme="majorBidi" w:hAnsiTheme="majorBidi" w:cstheme="majorBidi"/>
                <w:b/>
                <w:bCs/>
                <w:sz w:val="20"/>
                <w:szCs w:val="20"/>
              </w:rPr>
              <w:t>Service Type</w:t>
            </w:r>
          </w:p>
        </w:tc>
        <w:tc>
          <w:tcPr>
            <w:tcW w:w="9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01226404"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Total</w:t>
            </w:r>
          </w:p>
        </w:tc>
        <w:tc>
          <w:tcPr>
            <w:tcW w:w="9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1F639B9C"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Pass</w:t>
            </w:r>
          </w:p>
        </w:tc>
        <w:tc>
          <w:tcPr>
            <w:tcW w:w="10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4B558551"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Cond. Pass</w:t>
            </w:r>
          </w:p>
        </w:tc>
        <w:tc>
          <w:tcPr>
            <w:tcW w:w="9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2AE84B02"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Closed</w:t>
            </w:r>
          </w:p>
        </w:tc>
        <w:tc>
          <w:tcPr>
            <w:tcW w:w="11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2C924DF7"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Pass Rate</w:t>
            </w:r>
          </w:p>
        </w:tc>
        <w:tc>
          <w:tcPr>
            <w:tcW w:w="156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03C5C617" w14:textId="77777777" w:rsidR="00E44054" w:rsidRPr="0038411E" w:rsidRDefault="00000000">
            <w:pPr>
              <w:jc w:val="right"/>
              <w:rPr>
                <w:rFonts w:asciiTheme="majorBidi" w:hAnsiTheme="majorBidi" w:cstheme="majorBidi"/>
              </w:rPr>
            </w:pPr>
            <w:r w:rsidRPr="0038411E">
              <w:rPr>
                <w:rFonts w:asciiTheme="majorBidi" w:hAnsiTheme="majorBidi" w:cstheme="majorBidi"/>
                <w:b/>
                <w:bCs/>
                <w:sz w:val="20"/>
                <w:szCs w:val="20"/>
              </w:rPr>
              <w:t>Crucial Infractions</w:t>
            </w:r>
          </w:p>
        </w:tc>
      </w:tr>
      <w:tr w:rsidR="00E44054" w:rsidRPr="0038411E" w14:paraId="54011160"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FECF91"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Aesthetics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56D8FD8"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3,772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73424B6"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2,985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7152C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746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807A86"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41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E93A4C"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79.1%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16E6ABA"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648</w:t>
            </w:r>
          </w:p>
        </w:tc>
      </w:tr>
      <w:tr w:rsidR="00E44054" w:rsidRPr="0038411E" w14:paraId="4E82DC1E"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04655E"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Barbering &amp; Hairdressing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B1AAA7"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3,651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9ECAAE7"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3,109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765187E"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516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C695291"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9178BE"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85.2%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AD1D27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412</w:t>
            </w:r>
          </w:p>
        </w:tc>
      </w:tr>
      <w:tr w:rsidR="00E44054" w:rsidRPr="0038411E" w14:paraId="0269D79B"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43450A"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lastRenderedPageBreak/>
              <w:t>Nails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BC57D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2,835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C81B5D5"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1,982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7297C1A"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800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8AD579"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53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2C6F9A"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69.9%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C24F52"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710</w:t>
            </w:r>
          </w:p>
        </w:tc>
      </w:tr>
      <w:tr w:rsidR="00E44054" w:rsidRPr="0038411E" w14:paraId="6C058ACA"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810E7B"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Tattooing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154EDE"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693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F7F5E63"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493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454B73C"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182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064647"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C2BE39"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0885E6"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173</w:t>
            </w:r>
          </w:p>
        </w:tc>
      </w:tr>
      <w:tr w:rsidR="00E44054" w:rsidRPr="0038411E" w14:paraId="4F80FBA7"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BAA571A"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Micropigmentation/Microblading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0DC53B1"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393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837F92"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C1EED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4F3752E"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AE35AD3"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75.1%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2026E5"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85</w:t>
            </w:r>
          </w:p>
        </w:tc>
      </w:tr>
      <w:tr w:rsidR="00E44054" w:rsidRPr="0038411E" w14:paraId="1545BBA2"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243150E"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Body Piercing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28B7655"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291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B474FDB"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183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9CF4826"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70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00F9E23"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3297BB"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62.9%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9F3B3CD"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103</w:t>
            </w:r>
          </w:p>
        </w:tc>
      </w:tr>
      <w:tr w:rsidR="00E44054" w:rsidRPr="0038411E" w14:paraId="663E7C10"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F3BE894"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Ear Piercing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8564E7C"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184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0DA0EC"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156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FE34837"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562E96"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460AB5"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84.8%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0158FE7"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25</w:t>
            </w:r>
          </w:p>
        </w:tc>
      </w:tr>
      <w:tr w:rsidR="00E44054" w:rsidRPr="0038411E" w14:paraId="7CA50ABB" w14:textId="77777777" w:rsidTr="0038411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62A6847" w14:textId="77777777" w:rsidR="00E44054" w:rsidRPr="0038411E" w:rsidRDefault="00000000">
            <w:pPr>
              <w:rPr>
                <w:rFonts w:asciiTheme="majorBidi" w:hAnsiTheme="majorBidi" w:cstheme="majorBidi"/>
              </w:rPr>
            </w:pPr>
            <w:r w:rsidRPr="0038411E">
              <w:rPr>
                <w:rFonts w:asciiTheme="majorBidi" w:hAnsiTheme="majorBidi" w:cstheme="majorBidi"/>
                <w:sz w:val="20"/>
                <w:szCs w:val="20"/>
              </w:rPr>
              <w:t>Injectable Personal Services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3EF25F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96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88F403B"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A9FDB52"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ADA200"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2C78DE"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66.7%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25D68F" w14:textId="77777777" w:rsidR="00E44054" w:rsidRPr="0038411E" w:rsidRDefault="00000000">
            <w:pPr>
              <w:jc w:val="right"/>
              <w:rPr>
                <w:rFonts w:asciiTheme="majorBidi" w:hAnsiTheme="majorBidi" w:cstheme="majorBidi"/>
              </w:rPr>
            </w:pPr>
            <w:r w:rsidRPr="0038411E">
              <w:rPr>
                <w:rFonts w:asciiTheme="majorBidi" w:hAnsiTheme="majorBidi" w:cstheme="majorBidi"/>
                <w:sz w:val="20"/>
                <w:szCs w:val="20"/>
              </w:rPr>
              <w:t>26</w:t>
            </w:r>
          </w:p>
        </w:tc>
      </w:tr>
    </w:tbl>
    <w:p w14:paraId="62999F84" w14:textId="77777777" w:rsidR="00E44054" w:rsidRPr="0038411E" w:rsidRDefault="00E44054">
      <w:pPr>
        <w:spacing w:after="120"/>
        <w:rPr>
          <w:rFonts w:asciiTheme="majorBidi" w:hAnsiTheme="majorBidi" w:cstheme="majorBidi"/>
        </w:rPr>
      </w:pPr>
    </w:p>
    <w:p w14:paraId="3A898743" w14:textId="26DD7208" w:rsidR="00E44054" w:rsidRPr="0038411E" w:rsidRDefault="00000000">
      <w:pPr>
        <w:spacing w:before="80" w:after="120" w:line="276" w:lineRule="auto"/>
        <w:jc w:val="both"/>
        <w:rPr>
          <w:rFonts w:asciiTheme="majorBidi" w:hAnsiTheme="majorBidi" w:cstheme="majorBidi"/>
        </w:rPr>
      </w:pPr>
      <w:r w:rsidRPr="0038411E">
        <w:rPr>
          <w:rFonts w:asciiTheme="majorBidi" w:hAnsiTheme="majorBidi" w:cstheme="majorBidi"/>
        </w:rPr>
        <w:t>The Nails category, despite its large volume, had a pass rate of only 69.9</w:t>
      </w:r>
      <w:proofErr w:type="gramStart"/>
      <w:r w:rsidRPr="0038411E">
        <w:rPr>
          <w:rFonts w:asciiTheme="majorBidi" w:hAnsiTheme="majorBidi" w:cstheme="majorBidi"/>
        </w:rPr>
        <w:t xml:space="preserve">% </w:t>
      </w:r>
      <w:r w:rsidR="0038411E">
        <w:rPr>
          <w:rFonts w:asciiTheme="majorBidi" w:hAnsiTheme="majorBidi" w:cstheme="majorBidi"/>
        </w:rPr>
        <w:t>,</w:t>
      </w:r>
      <w:proofErr w:type="gramEnd"/>
      <w:r w:rsidR="009A2B93">
        <w:rPr>
          <w:rFonts w:asciiTheme="majorBidi" w:hAnsiTheme="majorBidi" w:cstheme="majorBidi"/>
        </w:rPr>
        <w:t xml:space="preserve"> </w:t>
      </w:r>
      <w:r w:rsidRPr="0038411E">
        <w:rPr>
          <w:rFonts w:asciiTheme="majorBidi" w:hAnsiTheme="majorBidi" w:cstheme="majorBidi"/>
        </w:rPr>
        <w:t xml:space="preserve"> the </w:t>
      </w:r>
      <w:r w:rsidR="0038411E">
        <w:rPr>
          <w:rFonts w:asciiTheme="majorBidi" w:hAnsiTheme="majorBidi" w:cstheme="majorBidi"/>
        </w:rPr>
        <w:t>third</w:t>
      </w:r>
      <w:r w:rsidRPr="0038411E">
        <w:rPr>
          <w:rFonts w:asciiTheme="majorBidi" w:hAnsiTheme="majorBidi" w:cstheme="majorBidi"/>
        </w:rPr>
        <w:t xml:space="preserve"> lowest. Nail technicians use tools such as files, clippers, and implements that contact skin and cuticles, and the high frequency of Crucial infractions (710) suggests that equipment reprocessing is a widespread issue in this sector.</w:t>
      </w:r>
    </w:p>
    <w:p w14:paraId="0C19D4F8" w14:textId="0F46066A" w:rsidR="00E44054" w:rsidRPr="009A2B93" w:rsidRDefault="00000000" w:rsidP="009A2B93">
      <w:pPr>
        <w:rPr>
          <w:rFonts w:asciiTheme="majorBidi" w:hAnsiTheme="majorBidi" w:cstheme="majorBidi"/>
          <w:b/>
          <w:bCs/>
          <w:color w:val="590000"/>
          <w:sz w:val="26"/>
          <w:szCs w:val="26"/>
        </w:rPr>
      </w:pPr>
      <w:r w:rsidRPr="009A2B93">
        <w:rPr>
          <w:rFonts w:asciiTheme="majorBidi" w:hAnsiTheme="majorBidi" w:cstheme="majorBidi"/>
          <w:b/>
          <w:bCs/>
          <w:color w:val="590000"/>
          <w:sz w:val="26"/>
          <w:szCs w:val="26"/>
        </w:rPr>
        <w:t>2.4 Inspection Volume Over Time (Continuous/Date Data)</w:t>
      </w:r>
    </w:p>
    <w:p w14:paraId="560BE8D6" w14:textId="77777777" w:rsidR="00E44054" w:rsidRPr="009A2B93" w:rsidRDefault="00000000">
      <w:pPr>
        <w:spacing w:before="80" w:after="120" w:line="276" w:lineRule="auto"/>
        <w:jc w:val="both"/>
        <w:rPr>
          <w:rFonts w:asciiTheme="majorBidi" w:hAnsiTheme="majorBidi" w:cstheme="majorBidi"/>
        </w:rPr>
      </w:pPr>
      <w:r w:rsidRPr="009A2B93">
        <w:rPr>
          <w:rFonts w:asciiTheme="majorBidi" w:hAnsiTheme="majorBidi" w:cstheme="majorBidi"/>
        </w:rPr>
        <w:t>Figure 4 presents a histogram of inspection volume over time, with each bar representing approximately one month. The chart reveals a clear ramp-up pattern: 2022 had very low activity (only 83 records), as the program was in its early stages following pandemic-related disruptions. Activity grew substantially through 2023 and 2024, peaking in late 2025.</w:t>
      </w:r>
    </w:p>
    <w:p w14:paraId="21F0432B" w14:textId="77777777" w:rsidR="00E44054" w:rsidRDefault="00E44054">
      <w:pPr>
        <w:spacing w:after="120"/>
      </w:pPr>
    </w:p>
    <w:p w14:paraId="194D91E7" w14:textId="77777777" w:rsidR="00E44054" w:rsidRDefault="00000000">
      <w:pPr>
        <w:spacing w:before="120" w:after="60"/>
        <w:jc w:val="center"/>
      </w:pPr>
      <w:r>
        <w:rPr>
          <w:noProof/>
        </w:rPr>
        <w:drawing>
          <wp:inline distT="0" distB="0" distL="0" distR="0" wp14:anchorId="7CF73F6E" wp14:editId="34495965">
            <wp:extent cx="6372225" cy="2895600"/>
            <wp:effectExtent l="0" t="0" r="0" b="0"/>
            <wp:docPr id="1007351031" name="Picture 100735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72225" cy="2895600"/>
                    </a:xfrm>
                    <a:prstGeom prst="rect">
                      <a:avLst/>
                    </a:prstGeom>
                  </pic:spPr>
                </pic:pic>
              </a:graphicData>
            </a:graphic>
          </wp:inline>
        </w:drawing>
      </w:r>
    </w:p>
    <w:p w14:paraId="4FE3171F" w14:textId="77777777" w:rsidR="00E44054" w:rsidRDefault="00000000">
      <w:pPr>
        <w:spacing w:after="160"/>
        <w:jc w:val="center"/>
      </w:pPr>
      <w:r>
        <w:rPr>
          <w:i/>
          <w:iCs/>
          <w:color w:val="555555"/>
          <w:sz w:val="18"/>
          <w:szCs w:val="18"/>
        </w:rPr>
        <w:t>Figure 4: Monthly Inspection Volume Over Time (2022–2026)</w:t>
      </w:r>
    </w:p>
    <w:p w14:paraId="55FACFAF" w14:textId="77777777" w:rsidR="00E44054" w:rsidRDefault="00E44054">
      <w:pPr>
        <w:spacing w:after="120"/>
      </w:pPr>
    </w:p>
    <w:p w14:paraId="11FE5B19" w14:textId="77777777" w:rsidR="00E44054" w:rsidRPr="009A2B93" w:rsidRDefault="00000000">
      <w:pPr>
        <w:spacing w:before="80" w:after="120" w:line="276" w:lineRule="auto"/>
        <w:jc w:val="both"/>
        <w:rPr>
          <w:rFonts w:asciiTheme="majorBidi" w:hAnsiTheme="majorBidi" w:cstheme="majorBidi"/>
        </w:rPr>
      </w:pPr>
      <w:r w:rsidRPr="009A2B93">
        <w:rPr>
          <w:rFonts w:asciiTheme="majorBidi" w:hAnsiTheme="majorBidi" w:cstheme="majorBidi"/>
        </w:rPr>
        <w:t xml:space="preserve">A notable spike is visible in late 2025 (November–December), where monthly inspection volumes exceeded 800 records. This may reflect a year-end enforcement push by Toronto Public Health inspectors. The consistent </w:t>
      </w:r>
      <w:r w:rsidRPr="009A2B93">
        <w:rPr>
          <w:rFonts w:asciiTheme="majorBidi" w:hAnsiTheme="majorBidi" w:cstheme="majorBidi"/>
        </w:rPr>
        <w:lastRenderedPageBreak/>
        <w:t>presence of Conditional Pass outcomes (orange) throughout the timeline confirms that non-compliance is not a temporary phenomenon but a persistent structural issue within the sector.</w:t>
      </w:r>
    </w:p>
    <w:p w14:paraId="65F97E7C" w14:textId="77777777" w:rsidR="00E44054" w:rsidRDefault="00E44054">
      <w:pPr>
        <w:spacing w:after="120"/>
      </w:pPr>
    </w:p>
    <w:p w14:paraId="2F7641ED" w14:textId="77777777" w:rsidR="00E44054" w:rsidRDefault="00000000">
      <w:pPr>
        <w:spacing w:before="120" w:after="60"/>
        <w:jc w:val="center"/>
      </w:pPr>
      <w:r>
        <w:rPr>
          <w:noProof/>
        </w:rPr>
        <w:drawing>
          <wp:inline distT="0" distB="0" distL="0" distR="0" wp14:anchorId="7CF74A09" wp14:editId="0D54B11C">
            <wp:extent cx="4675163" cy="2599642"/>
            <wp:effectExtent l="0" t="0" r="0" b="0"/>
            <wp:docPr id="595732137" name="Picture 59573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01204" cy="2614122"/>
                    </a:xfrm>
                    <a:prstGeom prst="rect">
                      <a:avLst/>
                    </a:prstGeom>
                  </pic:spPr>
                </pic:pic>
              </a:graphicData>
            </a:graphic>
          </wp:inline>
        </w:drawing>
      </w:r>
    </w:p>
    <w:p w14:paraId="66CBE3A2" w14:textId="77777777" w:rsidR="00E44054" w:rsidRDefault="00000000">
      <w:pPr>
        <w:spacing w:after="160"/>
        <w:jc w:val="center"/>
      </w:pPr>
      <w:r>
        <w:rPr>
          <w:i/>
          <w:iCs/>
          <w:color w:val="555555"/>
          <w:sz w:val="18"/>
          <w:szCs w:val="18"/>
        </w:rPr>
        <w:t>Figure 5: Annual Inspection Outcomes Trend (2022–2025)</w:t>
      </w:r>
    </w:p>
    <w:p w14:paraId="36E8A315" w14:textId="77777777" w:rsidR="00E44054" w:rsidRDefault="00E44054">
      <w:pPr>
        <w:spacing w:after="120"/>
      </w:pPr>
    </w:p>
    <w:p w14:paraId="15C51F51" w14:textId="5A21480B" w:rsidR="00E44054" w:rsidRPr="009A2B93" w:rsidRDefault="00000000">
      <w:pPr>
        <w:spacing w:before="80" w:after="120" w:line="276" w:lineRule="auto"/>
        <w:jc w:val="both"/>
        <w:rPr>
          <w:rFonts w:asciiTheme="majorBidi" w:hAnsiTheme="majorBidi" w:cstheme="majorBidi"/>
        </w:rPr>
      </w:pPr>
      <w:r w:rsidRPr="009A2B93">
        <w:rPr>
          <w:rFonts w:asciiTheme="majorBidi" w:hAnsiTheme="majorBidi" w:cstheme="majorBidi"/>
        </w:rPr>
        <w:t xml:space="preserve">Figure 5 shows the year-over-year trend by outcome. All </w:t>
      </w:r>
      <w:r w:rsidR="009A2B93" w:rsidRPr="009A2B93">
        <w:rPr>
          <w:rFonts w:asciiTheme="majorBidi" w:hAnsiTheme="majorBidi" w:cstheme="majorBidi"/>
        </w:rPr>
        <w:t>three</w:t>
      </w:r>
      <w:r w:rsidRPr="009A2B93">
        <w:rPr>
          <w:rFonts w:asciiTheme="majorBidi" w:hAnsiTheme="majorBidi" w:cstheme="majorBidi"/>
        </w:rPr>
        <w:t xml:space="preserve"> categories grew proportionally from 2022 to 2025, driven by the overall increase in inspection activity. Pass inspections grew from approximately 65 in 2022 to 3,524 in 2025. Importantly, Conditional Pass outcomes also increased year-over-year in absolute </w:t>
      </w:r>
      <w:r w:rsidR="00F124CF" w:rsidRPr="009A2B93">
        <w:rPr>
          <w:rFonts w:asciiTheme="majorBidi" w:hAnsiTheme="majorBidi" w:cstheme="majorBidi"/>
        </w:rPr>
        <w:t>terms from</w:t>
      </w:r>
      <w:r w:rsidRPr="009A2B93">
        <w:rPr>
          <w:rFonts w:asciiTheme="majorBidi" w:hAnsiTheme="majorBidi" w:cstheme="majorBidi"/>
        </w:rPr>
        <w:t xml:space="preserve"> roughly 15 in 2022 to 1,079 in </w:t>
      </w:r>
      <w:r w:rsidR="00F124CF" w:rsidRPr="009A2B93">
        <w:rPr>
          <w:rFonts w:asciiTheme="majorBidi" w:hAnsiTheme="majorBidi" w:cstheme="majorBidi"/>
        </w:rPr>
        <w:t>2025,</w:t>
      </w:r>
      <w:r w:rsidRPr="009A2B93">
        <w:rPr>
          <w:rFonts w:asciiTheme="majorBidi" w:hAnsiTheme="majorBidi" w:cstheme="majorBidi"/>
        </w:rPr>
        <w:t xml:space="preserve"> suggesting that as the program expanded its reach, it uncovered proportionally more non-compliant establishments.</w:t>
      </w:r>
    </w:p>
    <w:p w14:paraId="464F333A" w14:textId="77777777" w:rsidR="00E44054" w:rsidRPr="00F124CF" w:rsidRDefault="00000000">
      <w:pPr>
        <w:pStyle w:val="Heading2"/>
        <w:rPr>
          <w:rFonts w:asciiTheme="majorBidi" w:hAnsiTheme="majorBidi" w:cstheme="majorBidi"/>
          <w:color w:val="A20000"/>
        </w:rPr>
      </w:pPr>
      <w:r w:rsidRPr="00F124CF">
        <w:rPr>
          <w:rFonts w:asciiTheme="majorBidi" w:hAnsiTheme="majorBidi" w:cstheme="majorBidi"/>
          <w:color w:val="A20000"/>
        </w:rPr>
        <w:t>2.5 Infraction Analysis</w:t>
      </w:r>
    </w:p>
    <w:p w14:paraId="676D18E0" w14:textId="77777777" w:rsidR="00E44054" w:rsidRPr="00F124CF" w:rsidRDefault="00000000">
      <w:pPr>
        <w:pStyle w:val="Heading3"/>
        <w:rPr>
          <w:rFonts w:asciiTheme="majorBidi" w:hAnsiTheme="majorBidi" w:cstheme="majorBidi"/>
          <w:color w:val="A20000"/>
        </w:rPr>
      </w:pPr>
      <w:r w:rsidRPr="00F124CF">
        <w:rPr>
          <w:rFonts w:asciiTheme="majorBidi" w:hAnsiTheme="majorBidi" w:cstheme="majorBidi"/>
          <w:color w:val="A20000"/>
        </w:rPr>
        <w:t>2.5.1 Top Infraction Categories</w:t>
      </w:r>
    </w:p>
    <w:p w14:paraId="5F603D4A" w14:textId="77777777" w:rsidR="00E44054" w:rsidRPr="00F124CF" w:rsidRDefault="00000000">
      <w:pPr>
        <w:spacing w:before="80" w:after="120" w:line="276" w:lineRule="auto"/>
        <w:jc w:val="both"/>
        <w:rPr>
          <w:rFonts w:asciiTheme="majorBidi" w:hAnsiTheme="majorBidi" w:cstheme="majorBidi"/>
        </w:rPr>
      </w:pPr>
      <w:r w:rsidRPr="00F124CF">
        <w:rPr>
          <w:rFonts w:asciiTheme="majorBidi" w:hAnsiTheme="majorBidi" w:cstheme="majorBidi"/>
        </w:rPr>
        <w:t>Among the 2,616 inspections that identified violations, Table 4 and Figure 6 show the most frequently cited infraction categories.</w:t>
      </w:r>
    </w:p>
    <w:p w14:paraId="0A1C19A7" w14:textId="77777777" w:rsidR="00E44054" w:rsidRPr="00F124CF" w:rsidRDefault="00E44054">
      <w:pPr>
        <w:spacing w:after="120"/>
        <w:rPr>
          <w:rFonts w:asciiTheme="majorBidi" w:hAnsiTheme="majorBidi" w:cstheme="majorBidi"/>
        </w:rPr>
      </w:pPr>
    </w:p>
    <w:p w14:paraId="7310C001" w14:textId="77777777" w:rsidR="00E44054" w:rsidRDefault="00000000">
      <w:pPr>
        <w:spacing w:before="120" w:after="60"/>
        <w:jc w:val="center"/>
      </w:pPr>
      <w:r>
        <w:rPr>
          <w:b/>
          <w:bCs/>
          <w:i/>
          <w:iCs/>
          <w:sz w:val="20"/>
          <w:szCs w:val="20"/>
        </w:rPr>
        <w:t>Table 4: Top 10 Infraction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44054" w14:paraId="149DE65E"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64A2EA3C" w14:textId="77777777" w:rsidR="00E44054" w:rsidRDefault="00000000">
            <w:r>
              <w:rPr>
                <w:b/>
                <w:bCs/>
                <w:sz w:val="20"/>
                <w:szCs w:val="20"/>
              </w:rPr>
              <w:t>Infraction Category</w:t>
            </w:r>
          </w:p>
        </w:tc>
        <w:tc>
          <w:tcPr>
            <w:tcW w:w="18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5900F402" w14:textId="77777777" w:rsidR="00E44054" w:rsidRDefault="00000000">
            <w:pPr>
              <w:jc w:val="right"/>
            </w:pPr>
            <w:r>
              <w:rPr>
                <w:b/>
                <w:bCs/>
                <w:sz w:val="20"/>
                <w:szCs w:val="20"/>
              </w:rPr>
              <w:t>Count</w:t>
            </w:r>
          </w:p>
        </w:tc>
      </w:tr>
      <w:tr w:rsidR="00E44054" w14:paraId="0C9EB3A9"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89B5E5F"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04 - Reprocessing and Maintenance of Reusable Equipment/Instruments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801B28"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1,155</w:t>
            </w:r>
          </w:p>
        </w:tc>
      </w:tr>
      <w:tr w:rsidR="00E44054" w14:paraId="0C3919B6"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5F23F9"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02 - General Setting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F3EF88"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336</w:t>
            </w:r>
          </w:p>
        </w:tc>
      </w:tr>
      <w:tr w:rsidR="00E44054" w14:paraId="50F4A9DA"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59C24C7"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05 - Single-Use Equipment &amp; Instruments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3B889C"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261</w:t>
            </w:r>
          </w:p>
        </w:tc>
      </w:tr>
      <w:tr w:rsidR="00E44054" w14:paraId="631A7407"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5250096"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09 - Additional Record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946605"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202</w:t>
            </w:r>
          </w:p>
        </w:tc>
      </w:tr>
      <w:tr w:rsidR="00E44054" w14:paraId="47C1E62D"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8E222D0"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01 - Public Health Notification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65E391C"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154</w:t>
            </w:r>
          </w:p>
        </w:tc>
      </w:tr>
      <w:tr w:rsidR="00E44054" w14:paraId="3914BD4E"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4A8219D"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lastRenderedPageBreak/>
              <w:t>03 - Service Provider Hygiene &amp; Handwashing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11E78FF"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140</w:t>
            </w:r>
          </w:p>
        </w:tc>
      </w:tr>
      <w:tr w:rsidR="00E44054" w14:paraId="2EE7583E"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AF3E1D"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08 - Product Dispensing and Storage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CEEC423"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132</w:t>
            </w:r>
          </w:p>
        </w:tc>
      </w:tr>
      <w:tr w:rsidR="00E44054" w14:paraId="380B8A15"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C312114"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06 - Sharps Handling &amp; Disposal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CF0550"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95</w:t>
            </w:r>
          </w:p>
        </w:tc>
      </w:tr>
      <w:tr w:rsidR="00E44054" w14:paraId="20544A6A" w14:textId="77777777" w:rsidTr="00F124CF">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BD0E10" w14:textId="77777777" w:rsidR="00E44054" w:rsidRPr="00D52B58" w:rsidRDefault="00000000">
            <w:pPr>
              <w:rPr>
                <w:rFonts w:asciiTheme="majorBidi" w:hAnsiTheme="majorBidi" w:cstheme="majorBidi"/>
              </w:rPr>
            </w:pPr>
            <w:r w:rsidRPr="00D52B58">
              <w:rPr>
                <w:rFonts w:asciiTheme="majorBidi" w:hAnsiTheme="majorBidi" w:cstheme="majorBidi"/>
                <w:sz w:val="20"/>
                <w:szCs w:val="20"/>
              </w:rPr>
              <w:t>10 - Health Hazard and Sanitary Operation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D14BC3" w14:textId="77777777" w:rsidR="00E44054" w:rsidRPr="00D52B58" w:rsidRDefault="00000000">
            <w:pPr>
              <w:jc w:val="right"/>
              <w:rPr>
                <w:rFonts w:asciiTheme="majorBidi" w:hAnsiTheme="majorBidi" w:cstheme="majorBidi"/>
              </w:rPr>
            </w:pPr>
            <w:r w:rsidRPr="00D52B58">
              <w:rPr>
                <w:rFonts w:asciiTheme="majorBidi" w:hAnsiTheme="majorBidi" w:cstheme="majorBidi"/>
                <w:sz w:val="20"/>
                <w:szCs w:val="20"/>
              </w:rPr>
              <w:t>78</w:t>
            </w:r>
          </w:p>
        </w:tc>
      </w:tr>
      <w:tr w:rsidR="00E44054" w14:paraId="12226055" w14:textId="77777777">
        <w:tblPrEx>
          <w:tblCellMar>
            <w:top w:w="0" w:type="dxa"/>
            <w:bottom w:w="0" w:type="dxa"/>
          </w:tblCellMar>
        </w:tblPrEx>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77E6D" w14:textId="77777777" w:rsidR="00E44054" w:rsidRDefault="00000000">
            <w:r>
              <w:rPr>
                <w:sz w:val="20"/>
                <w:szCs w:val="20"/>
              </w:rPr>
              <w:t>07 - Sterilization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A051A" w14:textId="77777777" w:rsidR="00E44054" w:rsidRDefault="00000000">
            <w:pPr>
              <w:jc w:val="right"/>
            </w:pPr>
            <w:r>
              <w:rPr>
                <w:sz w:val="20"/>
                <w:szCs w:val="20"/>
              </w:rPr>
              <w:t>62</w:t>
            </w:r>
          </w:p>
        </w:tc>
      </w:tr>
    </w:tbl>
    <w:p w14:paraId="4BD664F6" w14:textId="77777777" w:rsidR="00E44054" w:rsidRDefault="00E44054">
      <w:pPr>
        <w:spacing w:after="120"/>
      </w:pPr>
    </w:p>
    <w:p w14:paraId="7AEC012A" w14:textId="77777777" w:rsidR="00E44054" w:rsidRDefault="00000000">
      <w:pPr>
        <w:spacing w:before="120" w:after="60"/>
        <w:jc w:val="center"/>
      </w:pPr>
      <w:r>
        <w:rPr>
          <w:noProof/>
        </w:rPr>
        <w:drawing>
          <wp:inline distT="0" distB="0" distL="0" distR="0" wp14:anchorId="742B9BBC" wp14:editId="028A0674">
            <wp:extent cx="5407532" cy="3443361"/>
            <wp:effectExtent l="0" t="0" r="3175" b="5080"/>
            <wp:docPr id="1187378845" name="Picture 11873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7967" cy="3456373"/>
                    </a:xfrm>
                    <a:prstGeom prst="rect">
                      <a:avLst/>
                    </a:prstGeom>
                  </pic:spPr>
                </pic:pic>
              </a:graphicData>
            </a:graphic>
          </wp:inline>
        </w:drawing>
      </w:r>
    </w:p>
    <w:p w14:paraId="4AF59341" w14:textId="77777777" w:rsidR="00E44054" w:rsidRDefault="00000000">
      <w:pPr>
        <w:spacing w:after="160"/>
        <w:jc w:val="center"/>
      </w:pPr>
      <w:r>
        <w:rPr>
          <w:i/>
          <w:iCs/>
          <w:color w:val="555555"/>
          <w:sz w:val="18"/>
          <w:szCs w:val="18"/>
        </w:rPr>
        <w:t>Figure 6: Most Common Infraction Categories</w:t>
      </w:r>
    </w:p>
    <w:p w14:paraId="4A1F0D23" w14:textId="77777777" w:rsidR="00E44054" w:rsidRDefault="00E44054">
      <w:pPr>
        <w:spacing w:after="120"/>
      </w:pPr>
    </w:p>
    <w:p w14:paraId="2447E077" w14:textId="07C5D15C" w:rsidR="00E44054" w:rsidRPr="00D52B58" w:rsidRDefault="00000000">
      <w:pPr>
        <w:spacing w:before="80" w:after="120" w:line="276" w:lineRule="auto"/>
        <w:jc w:val="both"/>
        <w:rPr>
          <w:rFonts w:asciiTheme="majorBidi" w:hAnsiTheme="majorBidi" w:cstheme="majorBidi"/>
        </w:rPr>
      </w:pPr>
      <w:r w:rsidRPr="00D52B58">
        <w:rPr>
          <w:rFonts w:asciiTheme="majorBidi" w:hAnsiTheme="majorBidi" w:cstheme="majorBidi"/>
        </w:rPr>
        <w:t>Category 04</w:t>
      </w:r>
      <w:r w:rsidR="00F124CF" w:rsidRPr="00D52B58">
        <w:rPr>
          <w:rFonts w:asciiTheme="majorBidi" w:hAnsiTheme="majorBidi" w:cstheme="majorBidi"/>
        </w:rPr>
        <w:t xml:space="preserve"> (</w:t>
      </w:r>
      <w:r w:rsidRPr="00D52B58">
        <w:rPr>
          <w:rFonts w:asciiTheme="majorBidi" w:hAnsiTheme="majorBidi" w:cstheme="majorBidi"/>
        </w:rPr>
        <w:t>Reprocessing and Maintenance of Reusable Equipment/</w:t>
      </w:r>
      <w:r w:rsidR="00D52B58" w:rsidRPr="00D52B58">
        <w:rPr>
          <w:rFonts w:asciiTheme="majorBidi" w:hAnsiTheme="majorBidi" w:cstheme="majorBidi"/>
        </w:rPr>
        <w:t>Instruments) is</w:t>
      </w:r>
      <w:r w:rsidRPr="00D52B58">
        <w:rPr>
          <w:rFonts w:asciiTheme="majorBidi" w:hAnsiTheme="majorBidi" w:cstheme="majorBidi"/>
        </w:rPr>
        <w:t xml:space="preserve"> by far the most frequently cited infraction with 1,155 occurrences, nearly four times more than the second-ranked category. This infraction captures failures in the cleaning, disinfection, and sterilization of reusable tools such as nail clippers, tattoo machine parts, piercing equipment, and wax applicators. Improperly reprocessed equipment is the primary vehicle for transmitting hepatitis B, hepatitis C, MRSA, and fungal infections between clients.</w:t>
      </w:r>
    </w:p>
    <w:p w14:paraId="747B0C85" w14:textId="77777777" w:rsidR="00E44054" w:rsidRPr="00D52B58" w:rsidRDefault="00E44054">
      <w:pPr>
        <w:spacing w:after="120"/>
        <w:rPr>
          <w:rFonts w:asciiTheme="majorBidi" w:hAnsiTheme="majorBidi" w:cstheme="majorBidi"/>
        </w:rPr>
      </w:pPr>
    </w:p>
    <w:p w14:paraId="2F9C3B9C" w14:textId="3EFEABB6" w:rsidR="00E44054" w:rsidRPr="00D52B58" w:rsidRDefault="00000000">
      <w:pPr>
        <w:spacing w:before="80" w:after="120" w:line="276" w:lineRule="auto"/>
        <w:jc w:val="both"/>
        <w:rPr>
          <w:rFonts w:asciiTheme="majorBidi" w:hAnsiTheme="majorBidi" w:cstheme="majorBidi"/>
        </w:rPr>
      </w:pPr>
      <w:r w:rsidRPr="00D52B58">
        <w:rPr>
          <w:rFonts w:asciiTheme="majorBidi" w:hAnsiTheme="majorBidi" w:cstheme="majorBidi"/>
        </w:rPr>
        <w:t xml:space="preserve">The second and third most common categories </w:t>
      </w:r>
      <w:r w:rsidR="00F124CF" w:rsidRPr="00D52B58">
        <w:rPr>
          <w:rFonts w:asciiTheme="majorBidi" w:hAnsiTheme="majorBidi" w:cstheme="majorBidi"/>
        </w:rPr>
        <w:t>are</w:t>
      </w:r>
      <w:r w:rsidRPr="00D52B58">
        <w:rPr>
          <w:rFonts w:asciiTheme="majorBidi" w:hAnsiTheme="majorBidi" w:cstheme="majorBidi"/>
        </w:rPr>
        <w:t xml:space="preserve"> General Setting Requirements (336) and Single-Use Equipment &amp; Instruments (261</w:t>
      </w:r>
      <w:r w:rsidR="00D52B58" w:rsidRPr="00D52B58">
        <w:rPr>
          <w:rFonts w:asciiTheme="majorBidi" w:hAnsiTheme="majorBidi" w:cstheme="majorBidi"/>
        </w:rPr>
        <w:t>),</w:t>
      </w:r>
      <w:r w:rsidR="00F124CF" w:rsidRPr="00D52B58">
        <w:rPr>
          <w:rFonts w:asciiTheme="majorBidi" w:hAnsiTheme="majorBidi" w:cstheme="majorBidi"/>
        </w:rPr>
        <w:t xml:space="preserve"> </w:t>
      </w:r>
      <w:r w:rsidR="00D52B58" w:rsidRPr="00D52B58">
        <w:rPr>
          <w:rFonts w:asciiTheme="majorBidi" w:hAnsiTheme="majorBidi" w:cstheme="majorBidi"/>
        </w:rPr>
        <w:t>related</w:t>
      </w:r>
      <w:r w:rsidRPr="00D52B58">
        <w:rPr>
          <w:rFonts w:asciiTheme="majorBidi" w:hAnsiTheme="majorBidi" w:cstheme="majorBidi"/>
        </w:rPr>
        <w:t xml:space="preserve"> to the physical environment and misuse of disposable items. Together, the top three categories account for 1,752 of 2,616 total infractions (67%), indicating that </w:t>
      </w:r>
      <w:r w:rsidR="00D52B58" w:rsidRPr="00D52B58">
        <w:rPr>
          <w:rFonts w:asciiTheme="majorBidi" w:hAnsiTheme="majorBidi" w:cstheme="majorBidi"/>
        </w:rPr>
        <w:t>many</w:t>
      </w:r>
      <w:r w:rsidRPr="00D52B58">
        <w:rPr>
          <w:rFonts w:asciiTheme="majorBidi" w:hAnsiTheme="majorBidi" w:cstheme="majorBidi"/>
        </w:rPr>
        <w:t xml:space="preserve"> violations are concentrated in just a few critical practice areas.</w:t>
      </w:r>
    </w:p>
    <w:p w14:paraId="4FD34E46" w14:textId="77777777" w:rsidR="00D52B58" w:rsidRPr="00D52B58" w:rsidRDefault="00D52B58" w:rsidP="00D52B58">
      <w:pPr>
        <w:rPr>
          <w:rFonts w:asciiTheme="majorBidi" w:hAnsiTheme="majorBidi" w:cstheme="majorBidi"/>
        </w:rPr>
      </w:pPr>
    </w:p>
    <w:p w14:paraId="140DF010" w14:textId="23BE1FB6" w:rsidR="00E44054" w:rsidRPr="00D52B58" w:rsidRDefault="00000000" w:rsidP="00D52B58">
      <w:pPr>
        <w:rPr>
          <w:rFonts w:asciiTheme="majorBidi" w:hAnsiTheme="majorBidi" w:cstheme="majorBidi"/>
          <w:b/>
          <w:bCs/>
          <w:color w:val="A20000"/>
          <w:sz w:val="26"/>
          <w:szCs w:val="26"/>
        </w:rPr>
      </w:pPr>
      <w:r w:rsidRPr="00D52B58">
        <w:rPr>
          <w:rFonts w:asciiTheme="majorBidi" w:hAnsiTheme="majorBidi" w:cstheme="majorBidi"/>
          <w:b/>
          <w:bCs/>
          <w:color w:val="A20000"/>
          <w:sz w:val="26"/>
          <w:szCs w:val="26"/>
        </w:rPr>
        <w:lastRenderedPageBreak/>
        <w:t>2.5.2 Infraction Severity</w:t>
      </w:r>
    </w:p>
    <w:p w14:paraId="75BF3FD8" w14:textId="2E14E7BF" w:rsidR="00E44054" w:rsidRPr="00D52B58" w:rsidRDefault="00000000">
      <w:pPr>
        <w:spacing w:before="80" w:after="120" w:line="276" w:lineRule="auto"/>
        <w:jc w:val="both"/>
        <w:rPr>
          <w:rFonts w:asciiTheme="majorBidi" w:hAnsiTheme="majorBidi" w:cstheme="majorBidi"/>
        </w:rPr>
      </w:pPr>
      <w:r w:rsidRPr="00D52B58">
        <w:rPr>
          <w:rFonts w:asciiTheme="majorBidi" w:hAnsiTheme="majorBidi" w:cstheme="majorBidi"/>
        </w:rPr>
        <w:t xml:space="preserve">Of the 2,616 infractions recorded, 2,182 (83.4%) were classified as </w:t>
      </w:r>
      <w:r w:rsidR="00D52B58" w:rsidRPr="00D52B58">
        <w:rPr>
          <w:rFonts w:asciiTheme="majorBidi" w:hAnsiTheme="majorBidi" w:cstheme="majorBidi"/>
        </w:rPr>
        <w:t>Crucial,</w:t>
      </w:r>
      <w:r w:rsidRPr="00D52B58">
        <w:rPr>
          <w:rFonts w:asciiTheme="majorBidi" w:hAnsiTheme="majorBidi" w:cstheme="majorBidi"/>
        </w:rPr>
        <w:t xml:space="preserve"> the most severe level under Ontario Regulation 136/18. Only 433 (16.6%) were classified as Significant. This distribution is </w:t>
      </w:r>
      <w:proofErr w:type="gramStart"/>
      <w:r w:rsidR="00D52B58" w:rsidRPr="00D52B58">
        <w:rPr>
          <w:rFonts w:asciiTheme="majorBidi" w:hAnsiTheme="majorBidi" w:cstheme="majorBidi"/>
        </w:rPr>
        <w:t>striking</w:t>
      </w:r>
      <w:proofErr w:type="gramEnd"/>
      <w:r w:rsidRPr="00D52B58">
        <w:rPr>
          <w:rFonts w:asciiTheme="majorBidi" w:hAnsiTheme="majorBidi" w:cstheme="majorBidi"/>
        </w:rPr>
        <w:t xml:space="preserve"> it means that when inspectors find violations, they are overwhelmingly of the most dangerous type, not minor administrative oversights.</w:t>
      </w:r>
    </w:p>
    <w:p w14:paraId="45013DDA" w14:textId="77777777" w:rsidR="00E44054" w:rsidRDefault="00E44054">
      <w:pPr>
        <w:spacing w:after="120"/>
      </w:pPr>
    </w:p>
    <w:p w14:paraId="5BAE9BC0" w14:textId="77777777" w:rsidR="00E44054" w:rsidRDefault="00000000">
      <w:pPr>
        <w:spacing w:before="120" w:after="60"/>
        <w:jc w:val="center"/>
      </w:pPr>
      <w:r>
        <w:rPr>
          <w:noProof/>
        </w:rPr>
        <w:drawing>
          <wp:inline distT="0" distB="0" distL="0" distR="0" wp14:anchorId="22C449C3" wp14:editId="5F4E8D69">
            <wp:extent cx="6372225" cy="3829050"/>
            <wp:effectExtent l="0" t="0" r="0" b="0"/>
            <wp:docPr id="1025023921" name="Picture 102502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72225" cy="3829050"/>
                    </a:xfrm>
                    <a:prstGeom prst="rect">
                      <a:avLst/>
                    </a:prstGeom>
                  </pic:spPr>
                </pic:pic>
              </a:graphicData>
            </a:graphic>
          </wp:inline>
        </w:drawing>
      </w:r>
    </w:p>
    <w:p w14:paraId="549A007F" w14:textId="77777777" w:rsidR="00E44054" w:rsidRDefault="00000000">
      <w:pPr>
        <w:spacing w:after="160"/>
        <w:jc w:val="center"/>
      </w:pPr>
      <w:r>
        <w:rPr>
          <w:i/>
          <w:iCs/>
          <w:color w:val="555555"/>
          <w:sz w:val="18"/>
          <w:szCs w:val="18"/>
        </w:rPr>
        <w:t>Figure 7: Infraction Severity by Service Type</w:t>
      </w:r>
    </w:p>
    <w:p w14:paraId="3311E99F" w14:textId="77777777" w:rsidR="00E44054" w:rsidRDefault="00E44054">
      <w:pPr>
        <w:spacing w:after="120"/>
      </w:pPr>
    </w:p>
    <w:p w14:paraId="513C384D" w14:textId="77777777" w:rsidR="00E44054" w:rsidRPr="00D52B58" w:rsidRDefault="00000000">
      <w:pPr>
        <w:spacing w:before="80" w:after="120" w:line="276" w:lineRule="auto"/>
        <w:jc w:val="both"/>
        <w:rPr>
          <w:rFonts w:asciiTheme="majorBidi" w:hAnsiTheme="majorBidi" w:cstheme="majorBidi"/>
        </w:rPr>
      </w:pPr>
      <w:r w:rsidRPr="00D52B58">
        <w:rPr>
          <w:rFonts w:asciiTheme="majorBidi" w:hAnsiTheme="majorBidi" w:cstheme="majorBidi"/>
        </w:rPr>
        <w:t>Figure 7 shows infraction severity broken down by service type. Nails (710 Crucial infractions) and Aesthetics (648) have the highest absolute totals due to their larger volumes. However, Body Piercing stands out for having almost exclusively Crucial infractions with very few Significant ones, reinforcing the finding from the compliance rate analysis that this service category operates with the highest per-inspection risk profile.</w:t>
      </w:r>
    </w:p>
    <w:p w14:paraId="310A9AA5" w14:textId="77777777" w:rsidR="00D52B58" w:rsidRDefault="00D52B58">
      <w:pPr>
        <w:pStyle w:val="Heading2"/>
        <w:rPr>
          <w:rFonts w:asciiTheme="majorBidi" w:hAnsiTheme="majorBidi" w:cstheme="majorBidi"/>
          <w:color w:val="A20000"/>
        </w:rPr>
      </w:pPr>
    </w:p>
    <w:p w14:paraId="456BE98E" w14:textId="77777777" w:rsidR="00D52B58" w:rsidRDefault="00D52B58">
      <w:pPr>
        <w:pStyle w:val="Heading2"/>
        <w:rPr>
          <w:rFonts w:asciiTheme="majorBidi" w:hAnsiTheme="majorBidi" w:cstheme="majorBidi"/>
          <w:color w:val="A20000"/>
        </w:rPr>
      </w:pPr>
    </w:p>
    <w:p w14:paraId="0E48BD04" w14:textId="7EDB7D89" w:rsidR="00E44054" w:rsidRPr="00D52B58" w:rsidRDefault="00000000">
      <w:pPr>
        <w:pStyle w:val="Heading2"/>
        <w:rPr>
          <w:rFonts w:asciiTheme="majorBidi" w:hAnsiTheme="majorBidi" w:cstheme="majorBidi"/>
          <w:color w:val="A20000"/>
        </w:rPr>
      </w:pPr>
      <w:r w:rsidRPr="00D52B58">
        <w:rPr>
          <w:rFonts w:asciiTheme="majorBidi" w:hAnsiTheme="majorBidi" w:cstheme="majorBidi"/>
          <w:color w:val="A20000"/>
        </w:rPr>
        <w:t>2.6 Inspection Frequency per Establishment (Discrete Data)</w:t>
      </w:r>
    </w:p>
    <w:p w14:paraId="1787EA2B" w14:textId="37FB1BC5" w:rsidR="00E44054" w:rsidRPr="00D52B58" w:rsidRDefault="00000000">
      <w:pPr>
        <w:spacing w:before="80" w:after="120" w:line="276" w:lineRule="auto"/>
        <w:jc w:val="both"/>
        <w:rPr>
          <w:rFonts w:asciiTheme="majorBidi" w:hAnsiTheme="majorBidi" w:cstheme="majorBidi"/>
        </w:rPr>
      </w:pPr>
      <w:r w:rsidRPr="00D52B58">
        <w:rPr>
          <w:rFonts w:asciiTheme="majorBidi" w:hAnsiTheme="majorBidi" w:cstheme="majorBidi"/>
        </w:rPr>
        <w:lastRenderedPageBreak/>
        <w:t xml:space="preserve">Figure 8 presents a boxplot of how many times each establishment was inspected, grouped by service type. The central box spans the interquartile range (IQR), the line inside is the median, and red dots represent </w:t>
      </w:r>
      <w:r w:rsidR="00D52B58" w:rsidRPr="00D52B58">
        <w:rPr>
          <w:rFonts w:asciiTheme="majorBidi" w:hAnsiTheme="majorBidi" w:cstheme="majorBidi"/>
        </w:rPr>
        <w:t>outlier</w:t>
      </w:r>
      <w:r w:rsidR="00D52B58">
        <w:rPr>
          <w:rFonts w:asciiTheme="majorBidi" w:hAnsiTheme="majorBidi" w:cstheme="majorBidi"/>
        </w:rPr>
        <w:t>’</w:t>
      </w:r>
      <w:r w:rsidR="00D52B58" w:rsidRPr="00D52B58">
        <w:rPr>
          <w:rFonts w:asciiTheme="majorBidi" w:hAnsiTheme="majorBidi" w:cstheme="majorBidi"/>
        </w:rPr>
        <w:t>s</w:t>
      </w:r>
      <w:r w:rsidR="00D52B58">
        <w:rPr>
          <w:rFonts w:asciiTheme="majorBidi" w:hAnsiTheme="majorBidi" w:cstheme="majorBidi"/>
        </w:rPr>
        <w:t xml:space="preserve"> </w:t>
      </w:r>
      <w:r w:rsidRPr="00D52B58">
        <w:rPr>
          <w:rFonts w:asciiTheme="majorBidi" w:hAnsiTheme="majorBidi" w:cstheme="majorBidi"/>
        </w:rPr>
        <w:t>establishments inspected far more frequently than typical.</w:t>
      </w:r>
    </w:p>
    <w:p w14:paraId="542F3170" w14:textId="77777777" w:rsidR="00E44054" w:rsidRDefault="00E44054">
      <w:pPr>
        <w:spacing w:after="120"/>
      </w:pPr>
    </w:p>
    <w:p w14:paraId="318869E8" w14:textId="77777777" w:rsidR="00E44054" w:rsidRDefault="00000000">
      <w:pPr>
        <w:spacing w:before="120" w:after="60"/>
        <w:jc w:val="center"/>
      </w:pPr>
      <w:r>
        <w:rPr>
          <w:noProof/>
        </w:rPr>
        <w:drawing>
          <wp:inline distT="0" distB="0" distL="0" distR="0" wp14:anchorId="6393F199" wp14:editId="6B3E1CB7">
            <wp:extent cx="5115826" cy="3074084"/>
            <wp:effectExtent l="0" t="0" r="8890" b="0"/>
            <wp:docPr id="64043248" name="Picture 6404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32236" cy="3083945"/>
                    </a:xfrm>
                    <a:prstGeom prst="rect">
                      <a:avLst/>
                    </a:prstGeom>
                  </pic:spPr>
                </pic:pic>
              </a:graphicData>
            </a:graphic>
          </wp:inline>
        </w:drawing>
      </w:r>
    </w:p>
    <w:p w14:paraId="5953C96A" w14:textId="77777777" w:rsidR="00E44054" w:rsidRDefault="00000000">
      <w:pPr>
        <w:spacing w:after="160"/>
        <w:jc w:val="center"/>
      </w:pPr>
      <w:r>
        <w:rPr>
          <w:i/>
          <w:iCs/>
          <w:color w:val="555555"/>
          <w:sz w:val="18"/>
          <w:szCs w:val="18"/>
        </w:rPr>
        <w:t>Figure 8: Distribution of Inspection Frequency per Establishment</w:t>
      </w:r>
    </w:p>
    <w:p w14:paraId="7E62C311" w14:textId="7B14BBBD" w:rsidR="00E44054" w:rsidRPr="003339E3" w:rsidRDefault="003339E3" w:rsidP="003339E3">
      <w:pPr>
        <w:spacing w:after="120"/>
        <w:rPr>
          <w:rFonts w:asciiTheme="majorBidi" w:hAnsiTheme="majorBidi" w:cstheme="majorBidi"/>
        </w:rPr>
      </w:pPr>
      <w:r w:rsidRPr="003339E3">
        <w:rPr>
          <w:rFonts w:asciiTheme="majorBidi" w:hAnsiTheme="majorBidi" w:cstheme="majorBidi"/>
        </w:rPr>
        <w:t>Most establishments across all service types were inspected between 1 and 4 times over the study period. However</w:t>
      </w:r>
      <w:proofErr w:type="gramStart"/>
      <w:r w:rsidRPr="003339E3">
        <w:rPr>
          <w:rFonts w:asciiTheme="majorBidi" w:hAnsiTheme="majorBidi" w:cstheme="majorBidi"/>
        </w:rPr>
        <w:t xml:space="preserve">, significant outliers </w:t>
      </w:r>
      <w:r w:rsidRPr="003339E3">
        <w:rPr>
          <w:rFonts w:asciiTheme="majorBidi" w:hAnsiTheme="majorBidi" w:cstheme="majorBidi"/>
        </w:rPr>
        <w:t>exist</w:t>
      </w:r>
      <w:proofErr w:type="gramEnd"/>
      <w:r w:rsidRPr="003339E3">
        <w:rPr>
          <w:rFonts w:asciiTheme="majorBidi" w:hAnsiTheme="majorBidi" w:cstheme="majorBidi"/>
        </w:rPr>
        <w:t xml:space="preserve"> certain Tattooing and Body Piercing establishments were inspected up to 30 and 25 times respectively, with Nails establishments reaching up to 18-19 inspections. This suggests repeated non-compliance and associated re-inspections at these locations. These outliers are not data </w:t>
      </w:r>
      <w:r w:rsidRPr="003339E3">
        <w:rPr>
          <w:rFonts w:asciiTheme="majorBidi" w:hAnsiTheme="majorBidi" w:cstheme="majorBidi"/>
        </w:rPr>
        <w:t>errors they</w:t>
      </w:r>
      <w:r w:rsidRPr="003339E3">
        <w:rPr>
          <w:rFonts w:asciiTheme="majorBidi" w:hAnsiTheme="majorBidi" w:cstheme="majorBidi"/>
        </w:rPr>
        <w:t xml:space="preserve"> represent real patterns where the </w:t>
      </w:r>
      <w:proofErr w:type="gramStart"/>
      <w:r w:rsidRPr="003339E3">
        <w:rPr>
          <w:rFonts w:asciiTheme="majorBidi" w:hAnsiTheme="majorBidi" w:cstheme="majorBidi"/>
        </w:rPr>
        <w:t>City</w:t>
      </w:r>
      <w:proofErr w:type="gramEnd"/>
      <w:r w:rsidRPr="003339E3">
        <w:rPr>
          <w:rFonts w:asciiTheme="majorBidi" w:hAnsiTheme="majorBidi" w:cstheme="majorBidi"/>
        </w:rPr>
        <w:t xml:space="preserve"> has focused enforcement attention due to persistent violations.</w:t>
      </w:r>
    </w:p>
    <w:p w14:paraId="60D79450" w14:textId="77777777" w:rsidR="00E44054" w:rsidRPr="003339E3" w:rsidRDefault="00000000">
      <w:pPr>
        <w:pStyle w:val="Heading2"/>
        <w:rPr>
          <w:rFonts w:asciiTheme="majorBidi" w:hAnsiTheme="majorBidi" w:cstheme="majorBidi"/>
          <w:color w:val="A20000"/>
        </w:rPr>
      </w:pPr>
      <w:r w:rsidRPr="003339E3">
        <w:rPr>
          <w:rFonts w:asciiTheme="majorBidi" w:hAnsiTheme="majorBidi" w:cstheme="majorBidi"/>
          <w:color w:val="A20000"/>
        </w:rPr>
        <w:t>2.7 Subset Analysis: High-Risk vs. Lower-Risk Services</w:t>
      </w:r>
    </w:p>
    <w:p w14:paraId="49619EDF" w14:textId="037F25BE" w:rsidR="00E44054" w:rsidRPr="003339E3" w:rsidRDefault="00000000">
      <w:pPr>
        <w:spacing w:before="80" w:after="120" w:line="276" w:lineRule="auto"/>
        <w:jc w:val="both"/>
        <w:rPr>
          <w:rFonts w:asciiTheme="majorBidi" w:hAnsiTheme="majorBidi" w:cstheme="majorBidi"/>
        </w:rPr>
      </w:pPr>
      <w:r w:rsidRPr="003339E3">
        <w:rPr>
          <w:rFonts w:asciiTheme="majorBidi" w:hAnsiTheme="majorBidi" w:cstheme="majorBidi"/>
        </w:rPr>
        <w:t xml:space="preserve">A key analytical question is whether blood and skin-penetrating services </w:t>
      </w:r>
      <w:r w:rsidR="004E3C7E">
        <w:rPr>
          <w:rFonts w:asciiTheme="majorBidi" w:hAnsiTheme="majorBidi" w:cstheme="majorBidi"/>
        </w:rPr>
        <w:t>like</w:t>
      </w:r>
      <w:r w:rsidRPr="003339E3">
        <w:rPr>
          <w:rFonts w:asciiTheme="majorBidi" w:hAnsiTheme="majorBidi" w:cstheme="majorBidi"/>
        </w:rPr>
        <w:t xml:space="preserve"> Tattooing, Body Piercing, Micropigmentation/Microblading, and Injectable Personal Services </w:t>
      </w:r>
      <w:r w:rsidR="004E3C7E">
        <w:rPr>
          <w:rFonts w:asciiTheme="majorBidi" w:hAnsiTheme="majorBidi" w:cstheme="majorBidi"/>
        </w:rPr>
        <w:t>are</w:t>
      </w:r>
      <w:r w:rsidRPr="003339E3">
        <w:rPr>
          <w:rFonts w:asciiTheme="majorBidi" w:hAnsiTheme="majorBidi" w:cstheme="majorBidi"/>
        </w:rPr>
        <w:t xml:space="preserve"> demonstrat</w:t>
      </w:r>
      <w:r w:rsidR="004E3C7E">
        <w:rPr>
          <w:rFonts w:asciiTheme="majorBidi" w:hAnsiTheme="majorBidi" w:cstheme="majorBidi"/>
        </w:rPr>
        <w:t xml:space="preserve">ing </w:t>
      </w:r>
      <w:r w:rsidRPr="003339E3">
        <w:rPr>
          <w:rFonts w:asciiTheme="majorBidi" w:hAnsiTheme="majorBidi" w:cstheme="majorBidi"/>
        </w:rPr>
        <w:t>worse compliance than lower-risk services such as hair salons and nail studios.</w:t>
      </w:r>
    </w:p>
    <w:p w14:paraId="4118BABC" w14:textId="77777777" w:rsidR="00E44054" w:rsidRPr="003339E3" w:rsidRDefault="00E44054">
      <w:pPr>
        <w:spacing w:after="120"/>
        <w:rPr>
          <w:rFonts w:asciiTheme="majorBidi" w:hAnsiTheme="majorBidi" w:cstheme="majorBidi"/>
        </w:rPr>
      </w:pPr>
    </w:p>
    <w:p w14:paraId="6CC0A373" w14:textId="77777777" w:rsidR="00E44054" w:rsidRPr="003339E3" w:rsidRDefault="00000000">
      <w:pPr>
        <w:spacing w:before="120" w:after="60"/>
        <w:jc w:val="center"/>
        <w:rPr>
          <w:rFonts w:asciiTheme="majorBidi" w:hAnsiTheme="majorBidi" w:cstheme="majorBidi"/>
        </w:rPr>
      </w:pPr>
      <w:r w:rsidRPr="003339E3">
        <w:rPr>
          <w:rFonts w:asciiTheme="majorBidi" w:hAnsiTheme="majorBidi" w:cstheme="majorBidi"/>
          <w:b/>
          <w:bCs/>
          <w:i/>
          <w:iCs/>
          <w:sz w:val="20"/>
          <w:szCs w:val="20"/>
        </w:rPr>
        <w:t>Table 5: Compliance by Risk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E44054" w:rsidRPr="003339E3" w14:paraId="544B825B" w14:textId="77777777" w:rsidTr="004E3C7E">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354B54DC" w14:textId="77777777" w:rsidR="00E44054" w:rsidRPr="003339E3" w:rsidRDefault="00000000">
            <w:pPr>
              <w:rPr>
                <w:rFonts w:asciiTheme="majorBidi" w:hAnsiTheme="majorBidi" w:cstheme="majorBidi"/>
              </w:rPr>
            </w:pPr>
            <w:r w:rsidRPr="003339E3">
              <w:rPr>
                <w:rFonts w:asciiTheme="majorBidi" w:hAnsiTheme="majorBidi" w:cstheme="majorBidi"/>
                <w:b/>
                <w:bCs/>
                <w:sz w:val="20"/>
                <w:szCs w:val="20"/>
              </w:rPr>
              <w:t>Risk Group</w:t>
            </w:r>
          </w:p>
        </w:tc>
        <w:tc>
          <w:tcPr>
            <w:tcW w:w="164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26034CEC" w14:textId="77777777" w:rsidR="00E44054" w:rsidRPr="003339E3" w:rsidRDefault="00000000">
            <w:pPr>
              <w:jc w:val="right"/>
              <w:rPr>
                <w:rFonts w:asciiTheme="majorBidi" w:hAnsiTheme="majorBidi" w:cstheme="majorBidi"/>
              </w:rPr>
            </w:pPr>
            <w:r w:rsidRPr="003339E3">
              <w:rPr>
                <w:rFonts w:asciiTheme="majorBidi" w:hAnsiTheme="majorBidi" w:cstheme="majorBidi"/>
                <w:b/>
                <w:bCs/>
                <w:sz w:val="20"/>
                <w:szCs w:val="20"/>
              </w:rPr>
              <w:t>Pass</w:t>
            </w:r>
          </w:p>
        </w:tc>
        <w:tc>
          <w:tcPr>
            <w:tcW w:w="164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67AABAC5" w14:textId="77777777" w:rsidR="00E44054" w:rsidRPr="003339E3" w:rsidRDefault="00000000">
            <w:pPr>
              <w:jc w:val="right"/>
              <w:rPr>
                <w:rFonts w:asciiTheme="majorBidi" w:hAnsiTheme="majorBidi" w:cstheme="majorBidi"/>
              </w:rPr>
            </w:pPr>
            <w:r w:rsidRPr="003339E3">
              <w:rPr>
                <w:rFonts w:asciiTheme="majorBidi" w:hAnsiTheme="majorBidi" w:cstheme="majorBidi"/>
                <w:b/>
                <w:bCs/>
                <w:sz w:val="20"/>
                <w:szCs w:val="20"/>
              </w:rPr>
              <w:t>Cond. Pass</w:t>
            </w:r>
          </w:p>
        </w:tc>
        <w:tc>
          <w:tcPr>
            <w:tcW w:w="164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1BCC0AE2" w14:textId="77777777" w:rsidR="00E44054" w:rsidRPr="003339E3" w:rsidRDefault="00000000">
            <w:pPr>
              <w:jc w:val="right"/>
              <w:rPr>
                <w:rFonts w:asciiTheme="majorBidi" w:hAnsiTheme="majorBidi" w:cstheme="majorBidi"/>
              </w:rPr>
            </w:pPr>
            <w:r w:rsidRPr="003339E3">
              <w:rPr>
                <w:rFonts w:asciiTheme="majorBidi" w:hAnsiTheme="majorBidi" w:cstheme="majorBidi"/>
                <w:b/>
                <w:bCs/>
                <w:sz w:val="20"/>
                <w:szCs w:val="20"/>
              </w:rPr>
              <w:t>Closed</w:t>
            </w:r>
          </w:p>
        </w:tc>
        <w:tc>
          <w:tcPr>
            <w:tcW w:w="1640" w:type="dxa"/>
            <w:tcBorders>
              <w:top w:val="single" w:sz="1" w:space="0" w:color="AAAAAA"/>
              <w:left w:val="single" w:sz="1" w:space="0" w:color="AAAAAA"/>
              <w:bottom w:val="single" w:sz="1" w:space="0" w:color="AAAAAA"/>
              <w:right w:val="single" w:sz="1" w:space="0" w:color="AAAAAA"/>
            </w:tcBorders>
            <w:shd w:val="clear" w:color="auto" w:fill="590000"/>
            <w:tcMar>
              <w:top w:w="80" w:type="dxa"/>
              <w:left w:w="120" w:type="dxa"/>
              <w:bottom w:w="80" w:type="dxa"/>
              <w:right w:w="120" w:type="dxa"/>
            </w:tcMar>
          </w:tcPr>
          <w:p w14:paraId="7DCA487B" w14:textId="77777777" w:rsidR="00E44054" w:rsidRPr="003339E3" w:rsidRDefault="00000000">
            <w:pPr>
              <w:jc w:val="right"/>
              <w:rPr>
                <w:rFonts w:asciiTheme="majorBidi" w:hAnsiTheme="majorBidi" w:cstheme="majorBidi"/>
              </w:rPr>
            </w:pPr>
            <w:r w:rsidRPr="003339E3">
              <w:rPr>
                <w:rFonts w:asciiTheme="majorBidi" w:hAnsiTheme="majorBidi" w:cstheme="majorBidi"/>
                <w:b/>
                <w:bCs/>
                <w:sz w:val="20"/>
                <w:szCs w:val="20"/>
              </w:rPr>
              <w:t>Pass Rate</w:t>
            </w:r>
          </w:p>
        </w:tc>
      </w:tr>
      <w:tr w:rsidR="00E44054" w:rsidRPr="003339E3" w14:paraId="25F28CBE" w14:textId="77777777" w:rsidTr="004E3C7E">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D4B7A5" w14:textId="77777777" w:rsidR="00E44054" w:rsidRPr="003339E3" w:rsidRDefault="00000000">
            <w:pPr>
              <w:rPr>
                <w:rFonts w:asciiTheme="majorBidi" w:hAnsiTheme="majorBidi" w:cstheme="majorBidi"/>
              </w:rPr>
            </w:pPr>
            <w:r w:rsidRPr="003339E3">
              <w:rPr>
                <w:rFonts w:asciiTheme="majorBidi" w:hAnsiTheme="majorBidi" w:cstheme="majorBidi"/>
                <w:sz w:val="20"/>
                <w:szCs w:val="20"/>
              </w:rPr>
              <w:t>High Risk (Blood/Skin-Penetrating)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9625EF"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1,035</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13A185D"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361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C5A01E"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77</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49C9450"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70.3%</w:t>
            </w:r>
          </w:p>
        </w:tc>
      </w:tr>
      <w:tr w:rsidR="00E44054" w:rsidRPr="003339E3" w14:paraId="2E10FB9D" w14:textId="77777777" w:rsidTr="004E3C7E">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0E1A08" w14:textId="77777777" w:rsidR="00E44054" w:rsidRPr="003339E3" w:rsidRDefault="00000000">
            <w:pPr>
              <w:rPr>
                <w:rFonts w:asciiTheme="majorBidi" w:hAnsiTheme="majorBidi" w:cstheme="majorBidi"/>
              </w:rPr>
            </w:pPr>
            <w:r w:rsidRPr="003339E3">
              <w:rPr>
                <w:rFonts w:asciiTheme="majorBidi" w:hAnsiTheme="majorBidi" w:cstheme="majorBidi"/>
                <w:sz w:val="20"/>
                <w:szCs w:val="20"/>
              </w:rPr>
              <w:t>Lower Risk (Non-Penetrating)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90989E8"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8,232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FC83CA"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2,090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58B58C"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120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5399B8B" w14:textId="77777777" w:rsidR="00E44054" w:rsidRPr="003339E3" w:rsidRDefault="00000000">
            <w:pPr>
              <w:jc w:val="right"/>
              <w:rPr>
                <w:rFonts w:asciiTheme="majorBidi" w:hAnsiTheme="majorBidi" w:cstheme="majorBidi"/>
              </w:rPr>
            </w:pPr>
            <w:r w:rsidRPr="003339E3">
              <w:rPr>
                <w:rFonts w:asciiTheme="majorBidi" w:hAnsiTheme="majorBidi" w:cstheme="majorBidi"/>
                <w:sz w:val="20"/>
                <w:szCs w:val="20"/>
              </w:rPr>
              <w:t>78.8%</w:t>
            </w:r>
          </w:p>
        </w:tc>
      </w:tr>
    </w:tbl>
    <w:p w14:paraId="5C9180E3" w14:textId="77777777" w:rsidR="00E44054" w:rsidRDefault="00E44054">
      <w:pPr>
        <w:spacing w:after="120"/>
      </w:pPr>
    </w:p>
    <w:p w14:paraId="550A6FE9" w14:textId="77777777" w:rsidR="00E44054" w:rsidRDefault="00000000">
      <w:pPr>
        <w:spacing w:before="120" w:after="60"/>
        <w:jc w:val="center"/>
      </w:pPr>
      <w:r>
        <w:rPr>
          <w:noProof/>
        </w:rPr>
        <w:lastRenderedPageBreak/>
        <w:drawing>
          <wp:inline distT="0" distB="0" distL="0" distR="0" wp14:anchorId="01C93639" wp14:editId="4575DFB9">
            <wp:extent cx="4537417" cy="2835038"/>
            <wp:effectExtent l="0" t="0" r="0" b="3810"/>
            <wp:docPr id="104542192" name="Picture 10454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46972" cy="2841008"/>
                    </a:xfrm>
                    <a:prstGeom prst="rect">
                      <a:avLst/>
                    </a:prstGeom>
                  </pic:spPr>
                </pic:pic>
              </a:graphicData>
            </a:graphic>
          </wp:inline>
        </w:drawing>
      </w:r>
    </w:p>
    <w:p w14:paraId="0C74299F" w14:textId="77777777" w:rsidR="00E44054" w:rsidRDefault="00000000">
      <w:pPr>
        <w:spacing w:after="160"/>
        <w:jc w:val="center"/>
      </w:pPr>
      <w:r>
        <w:rPr>
          <w:i/>
          <w:iCs/>
          <w:color w:val="555555"/>
          <w:sz w:val="18"/>
          <w:szCs w:val="18"/>
        </w:rPr>
        <w:t>Figure 9: Subset Analysis — Compliance Rate by Risk Group</w:t>
      </w:r>
    </w:p>
    <w:p w14:paraId="5F6D626C" w14:textId="77777777" w:rsidR="00E44054" w:rsidRDefault="00E44054">
      <w:pPr>
        <w:spacing w:after="120"/>
      </w:pPr>
    </w:p>
    <w:p w14:paraId="1219F63C" w14:textId="38B95A4B" w:rsidR="00E44054" w:rsidRPr="004E3C7E" w:rsidRDefault="00000000" w:rsidP="004E3C7E">
      <w:pPr>
        <w:spacing w:before="80" w:after="120" w:line="276" w:lineRule="auto"/>
        <w:jc w:val="both"/>
        <w:rPr>
          <w:rFonts w:asciiTheme="majorBidi" w:hAnsiTheme="majorBidi" w:cstheme="majorBidi"/>
        </w:rPr>
      </w:pPr>
      <w:r w:rsidRPr="004E3C7E">
        <w:rPr>
          <w:rFonts w:asciiTheme="majorBidi" w:hAnsiTheme="majorBidi" w:cstheme="majorBidi"/>
        </w:rPr>
        <w:t>The data confirms the hypothesis: high-risk services had a pass rate of 70.3% compared to 78.8% for lower-risk services. More critically, the closure rate for high-risk services was 5.2</w:t>
      </w:r>
      <w:r w:rsidR="004E3C7E" w:rsidRPr="004E3C7E">
        <w:rPr>
          <w:rFonts w:asciiTheme="majorBidi" w:hAnsiTheme="majorBidi" w:cstheme="majorBidi"/>
        </w:rPr>
        <w:t>%,</w:t>
      </w:r>
      <w:r w:rsidRPr="004E3C7E">
        <w:rPr>
          <w:rFonts w:asciiTheme="majorBidi" w:hAnsiTheme="majorBidi" w:cstheme="majorBidi"/>
        </w:rPr>
        <w:t xml:space="preserve"> nearly five times higher than the 1.1% closure rate for lower-risk services. Figure 9 makes this visually clear</w:t>
      </w:r>
      <w:r w:rsidR="004E3C7E">
        <w:rPr>
          <w:rFonts w:asciiTheme="majorBidi" w:hAnsiTheme="majorBidi" w:cstheme="majorBidi"/>
        </w:rPr>
        <w:t xml:space="preserve">, </w:t>
      </w:r>
      <w:r w:rsidRPr="004E3C7E">
        <w:rPr>
          <w:rFonts w:asciiTheme="majorBidi" w:hAnsiTheme="majorBidi" w:cstheme="majorBidi"/>
        </w:rPr>
        <w:t xml:space="preserve">the red (Closed) segment is substantially larger for the </w:t>
      </w:r>
      <w:r w:rsidR="004E3C7E" w:rsidRPr="004E3C7E">
        <w:rPr>
          <w:rFonts w:asciiTheme="majorBidi" w:hAnsiTheme="majorBidi" w:cstheme="majorBidi"/>
        </w:rPr>
        <w:t>High-Risk</w:t>
      </w:r>
      <w:r w:rsidRPr="004E3C7E">
        <w:rPr>
          <w:rFonts w:asciiTheme="majorBidi" w:hAnsiTheme="majorBidi" w:cstheme="majorBidi"/>
        </w:rPr>
        <w:t xml:space="preserve"> group.</w:t>
      </w:r>
      <w:r w:rsidR="004E3C7E">
        <w:rPr>
          <w:rFonts w:asciiTheme="majorBidi" w:hAnsiTheme="majorBidi" w:cstheme="majorBidi"/>
        </w:rPr>
        <w:t xml:space="preserve"> </w:t>
      </w:r>
      <w:r w:rsidRPr="004E3C7E">
        <w:rPr>
          <w:rFonts w:asciiTheme="majorBidi" w:hAnsiTheme="majorBidi" w:cstheme="majorBidi"/>
        </w:rPr>
        <w:t>This finding has direct implications for public health policy. Establishments performing skin-penetrating services should be subject to more frequent inspection cycles, and inspectors should prioritize sterilization protocol verification at these sites.</w:t>
      </w:r>
    </w:p>
    <w:p w14:paraId="0908192B" w14:textId="77777777" w:rsidR="00E44054" w:rsidRPr="004E3C7E" w:rsidRDefault="00000000">
      <w:pPr>
        <w:pStyle w:val="Heading2"/>
        <w:rPr>
          <w:rFonts w:asciiTheme="majorBidi" w:hAnsiTheme="majorBidi" w:cstheme="majorBidi"/>
          <w:color w:val="A20000"/>
        </w:rPr>
      </w:pPr>
      <w:r w:rsidRPr="004E3C7E">
        <w:rPr>
          <w:rFonts w:asciiTheme="majorBidi" w:hAnsiTheme="majorBidi" w:cstheme="majorBidi"/>
          <w:color w:val="A20000"/>
        </w:rPr>
        <w:t>2.8 Subset Analysis: Repeat Non-Compliant Establishments</w:t>
      </w:r>
    </w:p>
    <w:p w14:paraId="16BA3109" w14:textId="77777777" w:rsidR="00E44054" w:rsidRDefault="00000000">
      <w:pPr>
        <w:spacing w:before="120" w:after="60"/>
        <w:jc w:val="center"/>
      </w:pPr>
      <w:r>
        <w:rPr>
          <w:noProof/>
        </w:rPr>
        <w:lastRenderedPageBreak/>
        <w:drawing>
          <wp:inline distT="0" distB="0" distL="0" distR="0" wp14:anchorId="580C5AE9" wp14:editId="63E33442">
            <wp:extent cx="4707615" cy="2997674"/>
            <wp:effectExtent l="0" t="0" r="0" b="0"/>
            <wp:docPr id="965112265" name="Picture 9651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16525" cy="3003348"/>
                    </a:xfrm>
                    <a:prstGeom prst="rect">
                      <a:avLst/>
                    </a:prstGeom>
                  </pic:spPr>
                </pic:pic>
              </a:graphicData>
            </a:graphic>
          </wp:inline>
        </w:drawing>
      </w:r>
    </w:p>
    <w:p w14:paraId="7FF7D266" w14:textId="77777777" w:rsidR="00E44054" w:rsidRDefault="00000000">
      <w:pPr>
        <w:spacing w:after="160"/>
        <w:jc w:val="center"/>
      </w:pPr>
      <w:r>
        <w:rPr>
          <w:i/>
          <w:iCs/>
          <w:color w:val="555555"/>
          <w:sz w:val="18"/>
          <w:szCs w:val="18"/>
        </w:rPr>
        <w:t>Figure 10: Top 15 Establishments by Non-Compliance Count</w:t>
      </w:r>
    </w:p>
    <w:p w14:paraId="614F92BB" w14:textId="77777777" w:rsidR="00E44054" w:rsidRDefault="00E44054">
      <w:pPr>
        <w:spacing w:after="120"/>
      </w:pPr>
    </w:p>
    <w:p w14:paraId="44BCFD8E" w14:textId="3B62D2AB" w:rsidR="00E44054" w:rsidRPr="004E3C7E" w:rsidRDefault="00000000">
      <w:pPr>
        <w:spacing w:before="80" w:after="120" w:line="276" w:lineRule="auto"/>
        <w:jc w:val="both"/>
        <w:rPr>
          <w:rFonts w:asciiTheme="majorBidi" w:hAnsiTheme="majorBidi" w:cstheme="majorBidi"/>
        </w:rPr>
      </w:pPr>
      <w:r w:rsidRPr="004E3C7E">
        <w:rPr>
          <w:rFonts w:asciiTheme="majorBidi" w:hAnsiTheme="majorBidi" w:cstheme="majorBidi"/>
        </w:rPr>
        <w:t>Figure 10 identifies the 15 establishments with the highest count of non-compliant inspections. LA Galeria Ink (Tattooing) leads with 23 non-compliant inspections, followed closely by Yes Electric Tattoo with 22 (Tattooing), 19 (Body Piercing), and 14 (Barbering &amp; Hairdressing) appearing three times in the top 15 as a multi-service establishment with persistent compliance failures across all its service types.</w:t>
      </w:r>
    </w:p>
    <w:p w14:paraId="21580076" w14:textId="77777777" w:rsidR="00E44054" w:rsidRPr="004E3C7E" w:rsidRDefault="00E44054">
      <w:pPr>
        <w:spacing w:after="120"/>
        <w:rPr>
          <w:rFonts w:asciiTheme="majorBidi" w:hAnsiTheme="majorBidi" w:cstheme="majorBidi"/>
        </w:rPr>
      </w:pPr>
    </w:p>
    <w:p w14:paraId="48167A78" w14:textId="77777777" w:rsidR="00E44054" w:rsidRPr="004E3C7E" w:rsidRDefault="00000000">
      <w:pPr>
        <w:spacing w:before="80" w:after="120" w:line="276" w:lineRule="auto"/>
        <w:jc w:val="both"/>
        <w:rPr>
          <w:rFonts w:asciiTheme="majorBidi" w:hAnsiTheme="majorBidi" w:cstheme="majorBidi"/>
        </w:rPr>
      </w:pPr>
      <w:r w:rsidRPr="004E3C7E">
        <w:rPr>
          <w:rFonts w:asciiTheme="majorBidi" w:hAnsiTheme="majorBidi" w:cstheme="majorBidi"/>
        </w:rPr>
        <w:t xml:space="preserve">The concentration of repeat offenders in Tattooing and Body Piercing categories reinforces the risk-group findings above. These establishments represent a small fraction of all businesses but a disproportionate share of enforcement resources. Continued regulatory attention to these locations is </w:t>
      </w:r>
      <w:proofErr w:type="gramStart"/>
      <w:r w:rsidRPr="004E3C7E">
        <w:rPr>
          <w:rFonts w:asciiTheme="majorBidi" w:hAnsiTheme="majorBidi" w:cstheme="majorBidi"/>
        </w:rPr>
        <w:t>warranted</w:t>
      </w:r>
      <w:proofErr w:type="gramEnd"/>
      <w:r w:rsidRPr="004E3C7E">
        <w:rPr>
          <w:rFonts w:asciiTheme="majorBidi" w:hAnsiTheme="majorBidi" w:cstheme="majorBidi"/>
        </w:rPr>
        <w:t>.</w:t>
      </w:r>
    </w:p>
    <w:p w14:paraId="0FF6C89D" w14:textId="30628357" w:rsidR="00E44054" w:rsidRPr="002117A0" w:rsidRDefault="00000000">
      <w:pPr>
        <w:pStyle w:val="Heading2"/>
        <w:rPr>
          <w:rFonts w:asciiTheme="majorBidi" w:hAnsiTheme="majorBidi" w:cstheme="majorBidi"/>
          <w:color w:val="A20000"/>
        </w:rPr>
      </w:pPr>
      <w:r w:rsidRPr="002117A0">
        <w:rPr>
          <w:color w:val="A20000"/>
        </w:rPr>
        <w:t>3</w:t>
      </w:r>
      <w:r w:rsidR="002117A0">
        <w:rPr>
          <w:rFonts w:asciiTheme="majorBidi" w:hAnsiTheme="majorBidi" w:cstheme="majorBidi"/>
          <w:color w:val="A20000"/>
        </w:rPr>
        <w:t>.</w:t>
      </w:r>
      <w:r w:rsidRPr="002117A0">
        <w:rPr>
          <w:rFonts w:asciiTheme="majorBidi" w:hAnsiTheme="majorBidi" w:cstheme="majorBidi"/>
          <w:color w:val="A20000"/>
        </w:rPr>
        <w:t>Key Findings</w:t>
      </w:r>
    </w:p>
    <w:p w14:paraId="097AE55D" w14:textId="3C47E720" w:rsidR="00E44054" w:rsidRPr="002117A0" w:rsidRDefault="00000000">
      <w:pPr>
        <w:spacing w:before="80" w:after="120" w:line="276" w:lineRule="auto"/>
        <w:jc w:val="both"/>
        <w:rPr>
          <w:rFonts w:asciiTheme="majorBidi" w:hAnsiTheme="majorBidi" w:cstheme="majorBidi"/>
        </w:rPr>
      </w:pPr>
      <w:r w:rsidRPr="002117A0">
        <w:rPr>
          <w:rFonts w:asciiTheme="majorBidi" w:hAnsiTheme="majorBidi" w:cstheme="majorBidi"/>
        </w:rPr>
        <w:t xml:space="preserve">This </w:t>
      </w:r>
      <w:r w:rsidR="002117A0" w:rsidRPr="002117A0">
        <w:rPr>
          <w:rFonts w:asciiTheme="majorBidi" w:hAnsiTheme="majorBidi" w:cstheme="majorBidi"/>
        </w:rPr>
        <w:t>exploration</w:t>
      </w:r>
      <w:r w:rsidRPr="002117A0">
        <w:rPr>
          <w:rFonts w:asciiTheme="majorBidi" w:hAnsiTheme="majorBidi" w:cstheme="majorBidi"/>
        </w:rPr>
        <w:t xml:space="preserve"> data analysis of 11,915 Toronto </w:t>
      </w:r>
      <w:proofErr w:type="spellStart"/>
      <w:r w:rsidRPr="002117A0">
        <w:rPr>
          <w:rFonts w:asciiTheme="majorBidi" w:hAnsiTheme="majorBidi" w:cstheme="majorBidi"/>
        </w:rPr>
        <w:t>BodySafe</w:t>
      </w:r>
      <w:proofErr w:type="spellEnd"/>
      <w:r w:rsidRPr="002117A0">
        <w:rPr>
          <w:rFonts w:asciiTheme="majorBidi" w:hAnsiTheme="majorBidi" w:cstheme="majorBidi"/>
        </w:rPr>
        <w:t xml:space="preserve"> inspection records from April 2022 to April 2026 produced the following key takeaways:</w:t>
      </w:r>
    </w:p>
    <w:p w14:paraId="4ABDC859" w14:textId="77777777" w:rsidR="00E44054" w:rsidRPr="002117A0" w:rsidRDefault="00E44054">
      <w:pPr>
        <w:spacing w:after="120"/>
        <w:rPr>
          <w:rFonts w:asciiTheme="majorBidi" w:hAnsiTheme="majorBidi" w:cstheme="majorBidi"/>
        </w:rPr>
      </w:pPr>
    </w:p>
    <w:p w14:paraId="6DBBD492"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Overall compliance is moderate but not strong: 77.78% of inspections passed, while 22.22% resulted in Conditional Pass or Closure — meaning roughly 1 in 5 establishments inspected had identifiable public health violations.</w:t>
      </w:r>
    </w:p>
    <w:p w14:paraId="59D6E7DD" w14:textId="5C76A225"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 xml:space="preserve">Equipment sterilization is the dominant failure point: Infraction Category 04 (Reprocessing and Maintenance of Reusable Equipment) accounted for 1,155 of 2,616 total </w:t>
      </w:r>
      <w:proofErr w:type="gramStart"/>
      <w:r w:rsidRPr="002117A0">
        <w:rPr>
          <w:rFonts w:asciiTheme="majorBidi" w:hAnsiTheme="majorBidi" w:cstheme="majorBidi"/>
        </w:rPr>
        <w:t xml:space="preserve">infractions </w:t>
      </w:r>
      <w:r w:rsidR="002117A0">
        <w:rPr>
          <w:rFonts w:asciiTheme="majorBidi" w:hAnsiTheme="majorBidi" w:cstheme="majorBidi"/>
        </w:rPr>
        <w:t>,</w:t>
      </w:r>
      <w:proofErr w:type="gramEnd"/>
      <w:r w:rsidR="002117A0">
        <w:rPr>
          <w:rFonts w:asciiTheme="majorBidi" w:hAnsiTheme="majorBidi" w:cstheme="majorBidi"/>
        </w:rPr>
        <w:t xml:space="preserve"> </w:t>
      </w:r>
      <w:r w:rsidRPr="002117A0">
        <w:rPr>
          <w:rFonts w:asciiTheme="majorBidi" w:hAnsiTheme="majorBidi" w:cstheme="majorBidi"/>
        </w:rPr>
        <w:t xml:space="preserve"> 44.2% of all </w:t>
      </w:r>
      <w:r w:rsidR="002117A0" w:rsidRPr="002117A0">
        <w:rPr>
          <w:rFonts w:asciiTheme="majorBidi" w:hAnsiTheme="majorBidi" w:cstheme="majorBidi"/>
        </w:rPr>
        <w:t>violations and</w:t>
      </w:r>
      <w:r w:rsidRPr="002117A0">
        <w:rPr>
          <w:rFonts w:asciiTheme="majorBidi" w:hAnsiTheme="majorBidi" w:cstheme="majorBidi"/>
        </w:rPr>
        <w:t xml:space="preserve"> represents the single greatest public health risk in the sector.</w:t>
      </w:r>
    </w:p>
    <w:p w14:paraId="2489E8D2" w14:textId="40F5ADE0"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 xml:space="preserve">83% of infractions are </w:t>
      </w:r>
      <w:r w:rsidR="002117A0" w:rsidRPr="002117A0">
        <w:rPr>
          <w:rFonts w:asciiTheme="majorBidi" w:hAnsiTheme="majorBidi" w:cstheme="majorBidi"/>
        </w:rPr>
        <w:t>Crucial level</w:t>
      </w:r>
      <w:r w:rsidRPr="002117A0">
        <w:rPr>
          <w:rFonts w:asciiTheme="majorBidi" w:hAnsiTheme="majorBidi" w:cstheme="majorBidi"/>
        </w:rPr>
        <w:t>: When violations are found, they are overwhelmingly of the most severe type, not minor administrative issues. This underscores the seriousness of non-compliance in this regulated sector.</w:t>
      </w:r>
    </w:p>
    <w:p w14:paraId="59B58A78"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lastRenderedPageBreak/>
        <w:t>Body Piercing is the highest-risk service type: With only a 62.9% pass rate and a 13.1% closure rate, body piercing establishments fail inspections far more often than any other category, posing the greatest risk of bloodborne pathogen transmission.</w:t>
      </w:r>
    </w:p>
    <w:p w14:paraId="248DF0B1"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Inspection activity grew substantially from 2022 to 2025: The program expanded from 83 records in 2022 to 4,691 in 2025, reflecting a major post-pandemic ramp-up in enforcement. A notable spike in late 2025 suggests targeted enforcement campaigns.</w:t>
      </w:r>
    </w:p>
    <w:p w14:paraId="74577AA2"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High-risk services have nearly 5x the closure rate of lower-risk services: At 5.2% vs. 1.1%, skin-penetrating establishments are disproportionately represented in the most serious non-compliance outcomes.</w:t>
      </w:r>
    </w:p>
    <w:p w14:paraId="5B088BDD"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 xml:space="preserve">A small number of establishments account for a high share of violations: </w:t>
      </w:r>
      <w:proofErr w:type="gramStart"/>
      <w:r w:rsidRPr="002117A0">
        <w:rPr>
          <w:rFonts w:asciiTheme="majorBidi" w:hAnsiTheme="majorBidi" w:cstheme="majorBidi"/>
        </w:rPr>
        <w:t>YES</w:t>
      </w:r>
      <w:proofErr w:type="gramEnd"/>
      <w:r w:rsidRPr="002117A0">
        <w:rPr>
          <w:rFonts w:asciiTheme="majorBidi" w:hAnsiTheme="majorBidi" w:cstheme="majorBidi"/>
        </w:rPr>
        <w:t xml:space="preserve"> Electric Tattoo and LA Galeria Ink appeared repeatedly across the top 15 repeat-offender list, suggesting chronic systemic non-compliance at specific locations.</w:t>
      </w:r>
    </w:p>
    <w:p w14:paraId="71EA9697" w14:textId="77777777" w:rsidR="00E44054" w:rsidRPr="002117A0" w:rsidRDefault="00E44054">
      <w:pPr>
        <w:spacing w:after="120"/>
        <w:rPr>
          <w:rFonts w:asciiTheme="majorBidi" w:hAnsiTheme="majorBidi" w:cstheme="majorBidi"/>
        </w:rPr>
      </w:pPr>
    </w:p>
    <w:p w14:paraId="4FA021FB" w14:textId="77777777" w:rsidR="00E44054" w:rsidRPr="002117A0" w:rsidRDefault="00000000">
      <w:pPr>
        <w:pStyle w:val="Heading2"/>
        <w:rPr>
          <w:rFonts w:asciiTheme="majorBidi" w:hAnsiTheme="majorBidi" w:cstheme="majorBidi"/>
          <w:color w:val="A20000"/>
        </w:rPr>
      </w:pPr>
      <w:r w:rsidRPr="002117A0">
        <w:rPr>
          <w:rFonts w:asciiTheme="majorBidi" w:hAnsiTheme="majorBidi" w:cstheme="majorBidi"/>
          <w:color w:val="A20000"/>
        </w:rPr>
        <w:t>3.2 Questions for Further Exploration</w:t>
      </w:r>
    </w:p>
    <w:p w14:paraId="4D446F3A" w14:textId="77777777" w:rsidR="00E44054" w:rsidRPr="002117A0" w:rsidRDefault="00000000">
      <w:pPr>
        <w:spacing w:before="80" w:after="120" w:line="276" w:lineRule="auto"/>
        <w:jc w:val="both"/>
        <w:rPr>
          <w:rFonts w:asciiTheme="majorBidi" w:hAnsiTheme="majorBidi" w:cstheme="majorBidi"/>
        </w:rPr>
      </w:pPr>
      <w:r w:rsidRPr="002117A0">
        <w:rPr>
          <w:rFonts w:asciiTheme="majorBidi" w:hAnsiTheme="majorBidi" w:cstheme="majorBidi"/>
        </w:rPr>
        <w:t>This EDA opens several questions that warrant deeper investigation in future analyses:</w:t>
      </w:r>
    </w:p>
    <w:p w14:paraId="556BE421" w14:textId="77777777" w:rsidR="00E44054" w:rsidRPr="002117A0" w:rsidRDefault="00E44054">
      <w:pPr>
        <w:spacing w:after="120"/>
        <w:rPr>
          <w:rFonts w:asciiTheme="majorBidi" w:hAnsiTheme="majorBidi" w:cstheme="majorBidi"/>
        </w:rPr>
      </w:pPr>
    </w:p>
    <w:p w14:paraId="271B9A96"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Do establishments that received a Conditional Pass subsequently achieve full compliance upon re-inspection, or do they continue to fail? This would require linking inspection records across time by establishment ID.</w:t>
      </w:r>
    </w:p>
    <w:p w14:paraId="690622BD"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 xml:space="preserve">Is there a geographic pattern to non-compliance? Mapping closure and Conditional Pass rates by Toronto ward or </w:t>
      </w:r>
      <w:proofErr w:type="spellStart"/>
      <w:r w:rsidRPr="002117A0">
        <w:rPr>
          <w:rFonts w:asciiTheme="majorBidi" w:hAnsiTheme="majorBidi" w:cstheme="majorBidi"/>
        </w:rPr>
        <w:t>neighbourhood</w:t>
      </w:r>
      <w:proofErr w:type="spellEnd"/>
      <w:r w:rsidRPr="002117A0">
        <w:rPr>
          <w:rFonts w:asciiTheme="majorBidi" w:hAnsiTheme="majorBidi" w:cstheme="majorBidi"/>
        </w:rPr>
        <w:t xml:space="preserve"> could reveal whether certain areas of the city have systematically lower compliance.</w:t>
      </w:r>
    </w:p>
    <w:p w14:paraId="2B6F99FB"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Does the severity of the initial infraction predict future non-compliance? A regression or survival analysis approach could model the probability of repeat violations given prior inspection history.</w:t>
      </w:r>
    </w:p>
    <w:p w14:paraId="73730C8B"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 xml:space="preserve">Are enforcement actions (Notices to Comply, Tickets, Written Orders) associated with improved subsequent compliance? The </w:t>
      </w:r>
      <w:proofErr w:type="spellStart"/>
      <w:r w:rsidRPr="002117A0">
        <w:rPr>
          <w:rFonts w:asciiTheme="majorBidi" w:hAnsiTheme="majorBidi" w:cstheme="majorBidi"/>
        </w:rPr>
        <w:t>actionDesc</w:t>
      </w:r>
      <w:proofErr w:type="spellEnd"/>
      <w:r w:rsidRPr="002117A0">
        <w:rPr>
          <w:rFonts w:asciiTheme="majorBidi" w:hAnsiTheme="majorBidi" w:cstheme="majorBidi"/>
        </w:rPr>
        <w:t xml:space="preserve"> field could be used to test whether stricter enforcement leads to better outcomes.</w:t>
      </w:r>
    </w:p>
    <w:p w14:paraId="1FB532F3" w14:textId="77777777" w:rsidR="00E44054" w:rsidRPr="002117A0" w:rsidRDefault="00000000">
      <w:pPr>
        <w:pStyle w:val="ListParagraph"/>
        <w:numPr>
          <w:ilvl w:val="0"/>
          <w:numId w:val="2"/>
        </w:numPr>
        <w:spacing w:before="60" w:after="60"/>
        <w:rPr>
          <w:rFonts w:asciiTheme="majorBidi" w:hAnsiTheme="majorBidi" w:cstheme="majorBidi"/>
        </w:rPr>
      </w:pPr>
      <w:r w:rsidRPr="002117A0">
        <w:rPr>
          <w:rFonts w:asciiTheme="majorBidi" w:hAnsiTheme="majorBidi" w:cstheme="majorBidi"/>
        </w:rPr>
        <w:t>Has the dramatic increase in inspection volume from 2022 to 2025 led to an improvement in overall compliance rates, or has the non-compliance rate remained stable?</w:t>
      </w:r>
    </w:p>
    <w:p w14:paraId="057050E6" w14:textId="77777777" w:rsidR="00E44054" w:rsidRPr="002117A0" w:rsidRDefault="00E44054">
      <w:pPr>
        <w:spacing w:after="120"/>
        <w:rPr>
          <w:rFonts w:asciiTheme="majorBidi" w:hAnsiTheme="majorBidi" w:cstheme="majorBidi"/>
        </w:rPr>
      </w:pPr>
    </w:p>
    <w:p w14:paraId="40DC3902" w14:textId="77777777" w:rsidR="00E44054" w:rsidRPr="002117A0" w:rsidRDefault="00000000">
      <w:pPr>
        <w:pStyle w:val="Heading2"/>
        <w:rPr>
          <w:rFonts w:asciiTheme="majorBidi" w:hAnsiTheme="majorBidi" w:cstheme="majorBidi"/>
          <w:color w:val="A20000"/>
        </w:rPr>
      </w:pPr>
      <w:r w:rsidRPr="002117A0">
        <w:rPr>
          <w:rFonts w:asciiTheme="majorBidi" w:hAnsiTheme="majorBidi" w:cstheme="majorBidi"/>
          <w:color w:val="A20000"/>
        </w:rPr>
        <w:t>3.3 Conclusion</w:t>
      </w:r>
    </w:p>
    <w:p w14:paraId="5B83D712" w14:textId="77777777" w:rsidR="00E44054" w:rsidRDefault="00000000">
      <w:pPr>
        <w:spacing w:before="80" w:after="120" w:line="276" w:lineRule="auto"/>
        <w:jc w:val="both"/>
        <w:rPr>
          <w:rFonts w:asciiTheme="majorBidi" w:hAnsiTheme="majorBidi" w:cstheme="majorBidi"/>
        </w:rPr>
      </w:pPr>
      <w:r w:rsidRPr="002117A0">
        <w:rPr>
          <w:rFonts w:asciiTheme="majorBidi" w:hAnsiTheme="majorBidi" w:cstheme="majorBidi"/>
        </w:rPr>
        <w:t xml:space="preserve">The Toronto </w:t>
      </w:r>
      <w:proofErr w:type="spellStart"/>
      <w:r w:rsidRPr="002117A0">
        <w:rPr>
          <w:rFonts w:asciiTheme="majorBidi" w:hAnsiTheme="majorBidi" w:cstheme="majorBidi"/>
        </w:rPr>
        <w:t>BodySafe</w:t>
      </w:r>
      <w:proofErr w:type="spellEnd"/>
      <w:r w:rsidRPr="002117A0">
        <w:rPr>
          <w:rFonts w:asciiTheme="majorBidi" w:hAnsiTheme="majorBidi" w:cstheme="majorBidi"/>
        </w:rPr>
        <w:t xml:space="preserve"> dataset provides a rich, underexplored window into the public health compliance landscape of the city's personal service sector. The analysis reveals that while most establishments meet regulatory standards, equipment sterilization failures are alarmingly common and concentrated in the highest-risk service categories. The findings support a data-driven case for more frequent inspections of blood and skin-penetrating services, targeted enforcement at repeat offenders, and continued expansion of the inspection program to cover the full breadth of Toronto's personal service establishments.</w:t>
      </w:r>
    </w:p>
    <w:p w14:paraId="597A2BB5" w14:textId="77777777" w:rsidR="002117A0" w:rsidRDefault="002117A0">
      <w:pPr>
        <w:spacing w:before="80" w:after="120" w:line="276" w:lineRule="auto"/>
        <w:jc w:val="both"/>
        <w:rPr>
          <w:rFonts w:asciiTheme="majorBidi" w:hAnsiTheme="majorBidi" w:cstheme="majorBidi"/>
        </w:rPr>
      </w:pPr>
    </w:p>
    <w:p w14:paraId="1C335192" w14:textId="77777777" w:rsidR="002117A0" w:rsidRDefault="002117A0" w:rsidP="002117A0">
      <w:pPr>
        <w:spacing w:before="80" w:after="120" w:line="276" w:lineRule="auto"/>
        <w:jc w:val="both"/>
        <w:rPr>
          <w:rFonts w:asciiTheme="majorBidi" w:hAnsiTheme="majorBidi" w:cstheme="majorBidi"/>
          <w:b/>
          <w:bCs/>
          <w:color w:val="A20000"/>
        </w:rPr>
      </w:pPr>
    </w:p>
    <w:p w14:paraId="13660116" w14:textId="77777777" w:rsidR="002117A0" w:rsidRDefault="002117A0" w:rsidP="002117A0">
      <w:pPr>
        <w:spacing w:before="80" w:after="120" w:line="276" w:lineRule="auto"/>
        <w:jc w:val="both"/>
        <w:rPr>
          <w:rFonts w:asciiTheme="majorBidi" w:hAnsiTheme="majorBidi" w:cstheme="majorBidi"/>
          <w:b/>
          <w:bCs/>
          <w:color w:val="A20000"/>
        </w:rPr>
      </w:pPr>
    </w:p>
    <w:p w14:paraId="25FC5A72" w14:textId="75362E14" w:rsidR="002117A0" w:rsidRPr="002117A0" w:rsidRDefault="002117A0" w:rsidP="002117A0">
      <w:pPr>
        <w:spacing w:before="80" w:after="120" w:line="276" w:lineRule="auto"/>
        <w:jc w:val="both"/>
        <w:rPr>
          <w:rFonts w:asciiTheme="majorBidi" w:hAnsiTheme="majorBidi" w:cstheme="majorBidi"/>
          <w:b/>
          <w:bCs/>
          <w:color w:val="A20000"/>
        </w:rPr>
      </w:pPr>
      <w:r w:rsidRPr="002117A0">
        <w:rPr>
          <w:rFonts w:asciiTheme="majorBidi" w:hAnsiTheme="majorBidi" w:cstheme="majorBidi"/>
          <w:b/>
          <w:bCs/>
          <w:color w:val="A20000"/>
        </w:rPr>
        <w:t>References</w:t>
      </w:r>
    </w:p>
    <w:p w14:paraId="5D267F62" w14:textId="77777777" w:rsidR="002117A0" w:rsidRPr="002117A0" w:rsidRDefault="002117A0" w:rsidP="002117A0">
      <w:pPr>
        <w:spacing w:before="80" w:after="120" w:line="276" w:lineRule="auto"/>
        <w:jc w:val="both"/>
        <w:rPr>
          <w:rFonts w:asciiTheme="majorBidi" w:hAnsiTheme="majorBidi" w:cstheme="majorBidi"/>
        </w:rPr>
      </w:pPr>
      <w:r w:rsidRPr="002117A0">
        <w:rPr>
          <w:rFonts w:asciiTheme="majorBidi" w:hAnsiTheme="majorBidi" w:cstheme="majorBidi"/>
        </w:rPr>
        <w:t xml:space="preserve">Lehman, S. S., Graczyk, T. K., &amp; Sheridan, J. F. (2010). Bloodborne pathogen risk reduction activities in the body piercing and tattooing industry. </w:t>
      </w:r>
      <w:r w:rsidRPr="002117A0">
        <w:rPr>
          <w:rFonts w:asciiTheme="majorBidi" w:hAnsiTheme="majorBidi" w:cstheme="majorBidi"/>
          <w:i/>
          <w:iCs/>
        </w:rPr>
        <w:t>American Journal of Infection Control, 38</w:t>
      </w:r>
      <w:r w:rsidRPr="002117A0">
        <w:rPr>
          <w:rFonts w:asciiTheme="majorBidi" w:hAnsiTheme="majorBidi" w:cstheme="majorBidi"/>
        </w:rPr>
        <w:t xml:space="preserve">(2), 130–138. </w:t>
      </w:r>
      <w:hyperlink r:id="rId17" w:history="1">
        <w:r w:rsidRPr="002117A0">
          <w:rPr>
            <w:rStyle w:val="Hyperlink"/>
            <w:rFonts w:asciiTheme="majorBidi" w:hAnsiTheme="majorBidi" w:cstheme="majorBidi"/>
          </w:rPr>
          <w:t>https://doi.org/10.1016/j.ajic.2009.06.006</w:t>
        </w:r>
      </w:hyperlink>
    </w:p>
    <w:p w14:paraId="28F1C6BE" w14:textId="77777777" w:rsidR="002117A0" w:rsidRPr="002117A0" w:rsidRDefault="002117A0" w:rsidP="002117A0">
      <w:pPr>
        <w:spacing w:before="80" w:after="120" w:line="276" w:lineRule="auto"/>
        <w:jc w:val="both"/>
        <w:rPr>
          <w:rFonts w:asciiTheme="majorBidi" w:hAnsiTheme="majorBidi" w:cstheme="majorBidi"/>
        </w:rPr>
      </w:pPr>
      <w:r w:rsidRPr="002117A0">
        <w:rPr>
          <w:rFonts w:asciiTheme="majorBidi" w:hAnsiTheme="majorBidi" w:cstheme="majorBidi"/>
        </w:rPr>
        <w:t xml:space="preserve">Ontario Ministry of Health. (2018). </w:t>
      </w:r>
      <w:r w:rsidRPr="002117A0">
        <w:rPr>
          <w:rFonts w:asciiTheme="majorBidi" w:hAnsiTheme="majorBidi" w:cstheme="majorBidi"/>
          <w:i/>
          <w:iCs/>
        </w:rPr>
        <w:t>Personal service settings guideline 2018: Ontario Regulation 136/18 under the Health Protection and Promotion Act.</w:t>
      </w:r>
      <w:r w:rsidRPr="002117A0">
        <w:rPr>
          <w:rFonts w:asciiTheme="majorBidi" w:hAnsiTheme="majorBidi" w:cstheme="majorBidi"/>
        </w:rPr>
        <w:t xml:space="preserve"> Queen's Printer for Ontario. </w:t>
      </w:r>
      <w:hyperlink r:id="rId18" w:history="1">
        <w:r w:rsidRPr="002117A0">
          <w:rPr>
            <w:rStyle w:val="Hyperlink"/>
            <w:rFonts w:asciiTheme="majorBidi" w:hAnsiTheme="majorBidi" w:cstheme="majorBidi"/>
          </w:rPr>
          <w:t>https://files.ontario.ca/moh-guidelines-personal-service-settings-guideline-en-2019.pdf</w:t>
        </w:r>
      </w:hyperlink>
    </w:p>
    <w:p w14:paraId="5E622F54" w14:textId="77777777" w:rsidR="002117A0" w:rsidRPr="002117A0" w:rsidRDefault="002117A0" w:rsidP="002117A0">
      <w:pPr>
        <w:spacing w:before="80" w:after="120" w:line="276" w:lineRule="auto"/>
        <w:jc w:val="both"/>
        <w:rPr>
          <w:rFonts w:asciiTheme="majorBidi" w:hAnsiTheme="majorBidi" w:cstheme="majorBidi"/>
        </w:rPr>
      </w:pPr>
      <w:r w:rsidRPr="002117A0">
        <w:rPr>
          <w:rFonts w:asciiTheme="majorBidi" w:hAnsiTheme="majorBidi" w:cstheme="majorBidi"/>
        </w:rPr>
        <w:t xml:space="preserve">City of Toronto. (2024). </w:t>
      </w:r>
      <w:proofErr w:type="spellStart"/>
      <w:r w:rsidRPr="002117A0">
        <w:rPr>
          <w:rFonts w:asciiTheme="majorBidi" w:hAnsiTheme="majorBidi" w:cstheme="majorBidi"/>
          <w:i/>
          <w:iCs/>
        </w:rPr>
        <w:t>BodySafe</w:t>
      </w:r>
      <w:proofErr w:type="spellEnd"/>
      <w:r w:rsidRPr="002117A0">
        <w:rPr>
          <w:rFonts w:asciiTheme="majorBidi" w:hAnsiTheme="majorBidi" w:cstheme="majorBidi"/>
          <w:i/>
          <w:iCs/>
        </w:rPr>
        <w:t xml:space="preserve"> — Personal service settings inspection results</w:t>
      </w:r>
      <w:r w:rsidRPr="002117A0">
        <w:rPr>
          <w:rFonts w:asciiTheme="majorBidi" w:hAnsiTheme="majorBidi" w:cstheme="majorBidi"/>
        </w:rPr>
        <w:t xml:space="preserve"> [Data set]. Toronto Open Data Portal. </w:t>
      </w:r>
      <w:hyperlink r:id="rId19" w:history="1">
        <w:r w:rsidRPr="002117A0">
          <w:rPr>
            <w:rStyle w:val="Hyperlink"/>
            <w:rFonts w:asciiTheme="majorBidi" w:hAnsiTheme="majorBidi" w:cstheme="majorBidi"/>
          </w:rPr>
          <w:t>https://open.toronto.ca/dataset/bodysafe/</w:t>
        </w:r>
      </w:hyperlink>
    </w:p>
    <w:p w14:paraId="7337E3A0" w14:textId="77777777" w:rsidR="002117A0" w:rsidRPr="002117A0" w:rsidRDefault="002117A0">
      <w:pPr>
        <w:spacing w:before="80" w:after="120" w:line="276" w:lineRule="auto"/>
        <w:jc w:val="both"/>
        <w:rPr>
          <w:rFonts w:asciiTheme="majorBidi" w:hAnsiTheme="majorBidi" w:cstheme="majorBidi"/>
        </w:rPr>
      </w:pPr>
    </w:p>
    <w:sectPr w:rsidR="002117A0" w:rsidRPr="002117A0">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83D1" w14:textId="77777777" w:rsidR="007C22B6" w:rsidRDefault="007C22B6" w:rsidP="002117A0">
      <w:r>
        <w:separator/>
      </w:r>
    </w:p>
  </w:endnote>
  <w:endnote w:type="continuationSeparator" w:id="0">
    <w:p w14:paraId="62923E12" w14:textId="77777777" w:rsidR="007C22B6" w:rsidRDefault="007C22B6" w:rsidP="00211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247341"/>
      <w:docPartObj>
        <w:docPartGallery w:val="Page Numbers (Bottom of Page)"/>
        <w:docPartUnique/>
      </w:docPartObj>
    </w:sdtPr>
    <w:sdtEndPr>
      <w:rPr>
        <w:noProof/>
      </w:rPr>
    </w:sdtEndPr>
    <w:sdtContent>
      <w:p w14:paraId="42EF9138" w14:textId="1A873077" w:rsidR="002117A0" w:rsidRDefault="002117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D2D7CB" w14:textId="77777777" w:rsidR="002117A0" w:rsidRDefault="00211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7FC7" w14:textId="77777777" w:rsidR="007C22B6" w:rsidRDefault="007C22B6" w:rsidP="002117A0">
      <w:r>
        <w:separator/>
      </w:r>
    </w:p>
  </w:footnote>
  <w:footnote w:type="continuationSeparator" w:id="0">
    <w:p w14:paraId="136E3F3A" w14:textId="77777777" w:rsidR="007C22B6" w:rsidRDefault="007C22B6" w:rsidP="00211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9AD4" w14:textId="36592AAE" w:rsidR="002117A0" w:rsidRDefault="002117A0">
    <w:pPr>
      <w:pStyle w:val="Header"/>
    </w:pPr>
    <w:r>
      <w:rPr>
        <w:noProof/>
      </w:rPr>
      <w:drawing>
        <wp:inline distT="0" distB="0" distL="0" distR="0" wp14:anchorId="15C73592" wp14:editId="687224AB">
          <wp:extent cx="1687033" cy="949043"/>
          <wp:effectExtent l="0" t="0" r="8890" b="0"/>
          <wp:docPr id="27879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1047" name="Picture 278791047"/>
                  <pic:cNvPicPr/>
                </pic:nvPicPr>
                <pic:blipFill>
                  <a:blip r:embed="rId1">
                    <a:extLst>
                      <a:ext uri="{28A0092B-C50C-407E-A947-70E740481C1C}">
                        <a14:useLocalDpi xmlns:a14="http://schemas.microsoft.com/office/drawing/2010/main" val="0"/>
                      </a:ext>
                    </a:extLst>
                  </a:blip>
                  <a:stretch>
                    <a:fillRect/>
                  </a:stretch>
                </pic:blipFill>
                <pic:spPr>
                  <a:xfrm>
                    <a:off x="0" y="0"/>
                    <a:ext cx="1699036" cy="9557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D73C1"/>
    <w:multiLevelType w:val="hybridMultilevel"/>
    <w:tmpl w:val="1F4298F4"/>
    <w:lvl w:ilvl="0" w:tplc="33524C14">
      <w:start w:val="1"/>
      <w:numFmt w:val="bullet"/>
      <w:lvlText w:val="•"/>
      <w:lvlJc w:val="left"/>
      <w:pPr>
        <w:ind w:left="720" w:hanging="360"/>
      </w:pPr>
    </w:lvl>
    <w:lvl w:ilvl="1" w:tplc="2FF4F254">
      <w:numFmt w:val="decimal"/>
      <w:lvlText w:val=""/>
      <w:lvlJc w:val="left"/>
    </w:lvl>
    <w:lvl w:ilvl="2" w:tplc="1B12E92E">
      <w:numFmt w:val="decimal"/>
      <w:lvlText w:val=""/>
      <w:lvlJc w:val="left"/>
    </w:lvl>
    <w:lvl w:ilvl="3" w:tplc="21B8E2A4">
      <w:numFmt w:val="decimal"/>
      <w:lvlText w:val=""/>
      <w:lvlJc w:val="left"/>
    </w:lvl>
    <w:lvl w:ilvl="4" w:tplc="2A3A4B50">
      <w:numFmt w:val="decimal"/>
      <w:lvlText w:val=""/>
      <w:lvlJc w:val="left"/>
    </w:lvl>
    <w:lvl w:ilvl="5" w:tplc="AA5E6E10">
      <w:numFmt w:val="decimal"/>
      <w:lvlText w:val=""/>
      <w:lvlJc w:val="left"/>
    </w:lvl>
    <w:lvl w:ilvl="6" w:tplc="CD26A7C4">
      <w:numFmt w:val="decimal"/>
      <w:lvlText w:val=""/>
      <w:lvlJc w:val="left"/>
    </w:lvl>
    <w:lvl w:ilvl="7" w:tplc="AB7EA41E">
      <w:numFmt w:val="decimal"/>
      <w:lvlText w:val=""/>
      <w:lvlJc w:val="left"/>
    </w:lvl>
    <w:lvl w:ilvl="8" w:tplc="9F46B62A">
      <w:numFmt w:val="decimal"/>
      <w:lvlText w:val=""/>
      <w:lvlJc w:val="left"/>
    </w:lvl>
  </w:abstractNum>
  <w:abstractNum w:abstractNumId="1" w15:restartNumberingAfterBreak="0">
    <w:nsid w:val="3846041A"/>
    <w:multiLevelType w:val="hybridMultilevel"/>
    <w:tmpl w:val="7EA400F8"/>
    <w:lvl w:ilvl="0" w:tplc="784804A6">
      <w:start w:val="1"/>
      <w:numFmt w:val="bullet"/>
      <w:lvlText w:val="●"/>
      <w:lvlJc w:val="left"/>
      <w:pPr>
        <w:ind w:left="720" w:hanging="360"/>
      </w:pPr>
    </w:lvl>
    <w:lvl w:ilvl="1" w:tplc="B50E5C12">
      <w:start w:val="1"/>
      <w:numFmt w:val="bullet"/>
      <w:lvlText w:val="○"/>
      <w:lvlJc w:val="left"/>
      <w:pPr>
        <w:ind w:left="1440" w:hanging="360"/>
      </w:pPr>
    </w:lvl>
    <w:lvl w:ilvl="2" w:tplc="9D50A3C2">
      <w:start w:val="1"/>
      <w:numFmt w:val="bullet"/>
      <w:lvlText w:val="■"/>
      <w:lvlJc w:val="left"/>
      <w:pPr>
        <w:ind w:left="2160" w:hanging="360"/>
      </w:pPr>
    </w:lvl>
    <w:lvl w:ilvl="3" w:tplc="B532E52C">
      <w:start w:val="1"/>
      <w:numFmt w:val="bullet"/>
      <w:lvlText w:val="●"/>
      <w:lvlJc w:val="left"/>
      <w:pPr>
        <w:ind w:left="2880" w:hanging="360"/>
      </w:pPr>
    </w:lvl>
    <w:lvl w:ilvl="4" w:tplc="49161D70">
      <w:start w:val="1"/>
      <w:numFmt w:val="bullet"/>
      <w:lvlText w:val="○"/>
      <w:lvlJc w:val="left"/>
      <w:pPr>
        <w:ind w:left="3600" w:hanging="360"/>
      </w:pPr>
    </w:lvl>
    <w:lvl w:ilvl="5" w:tplc="B6707A22">
      <w:start w:val="1"/>
      <w:numFmt w:val="bullet"/>
      <w:lvlText w:val="■"/>
      <w:lvlJc w:val="left"/>
      <w:pPr>
        <w:ind w:left="4320" w:hanging="360"/>
      </w:pPr>
    </w:lvl>
    <w:lvl w:ilvl="6" w:tplc="FE0A4D7A">
      <w:start w:val="1"/>
      <w:numFmt w:val="bullet"/>
      <w:lvlText w:val="●"/>
      <w:lvlJc w:val="left"/>
      <w:pPr>
        <w:ind w:left="5040" w:hanging="360"/>
      </w:pPr>
    </w:lvl>
    <w:lvl w:ilvl="7" w:tplc="9A066DD8">
      <w:start w:val="1"/>
      <w:numFmt w:val="bullet"/>
      <w:lvlText w:val="●"/>
      <w:lvlJc w:val="left"/>
      <w:pPr>
        <w:ind w:left="5760" w:hanging="360"/>
      </w:pPr>
    </w:lvl>
    <w:lvl w:ilvl="8" w:tplc="7C927672">
      <w:start w:val="1"/>
      <w:numFmt w:val="bullet"/>
      <w:lvlText w:val="●"/>
      <w:lvlJc w:val="left"/>
      <w:pPr>
        <w:ind w:left="6480" w:hanging="360"/>
      </w:pPr>
    </w:lvl>
  </w:abstractNum>
  <w:num w:numId="1" w16cid:durableId="943267721">
    <w:abstractNumId w:val="1"/>
    <w:lvlOverride w:ilvl="0">
      <w:startOverride w:val="1"/>
    </w:lvlOverride>
  </w:num>
  <w:num w:numId="2" w16cid:durableId="1238200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054"/>
    <w:rsid w:val="002117A0"/>
    <w:rsid w:val="002A700B"/>
    <w:rsid w:val="003339E3"/>
    <w:rsid w:val="0038411E"/>
    <w:rsid w:val="004E3C7E"/>
    <w:rsid w:val="007C22B6"/>
    <w:rsid w:val="009A2B93"/>
    <w:rsid w:val="00A45EEC"/>
    <w:rsid w:val="00BB7D87"/>
    <w:rsid w:val="00D52B58"/>
    <w:rsid w:val="00D82782"/>
    <w:rsid w:val="00DC31CB"/>
    <w:rsid w:val="00E24F55"/>
    <w:rsid w:val="00E44054"/>
    <w:rsid w:val="00F124CF"/>
    <w:rsid w:val="00F90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1034C"/>
  <w15:docId w15:val="{55E3A17B-503F-45C9-A286-B26E2CAA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117A0"/>
    <w:rPr>
      <w:color w:val="605E5C"/>
      <w:shd w:val="clear" w:color="auto" w:fill="E1DFDD"/>
    </w:rPr>
  </w:style>
  <w:style w:type="paragraph" w:styleId="Header">
    <w:name w:val="header"/>
    <w:basedOn w:val="Normal"/>
    <w:link w:val="HeaderChar"/>
    <w:uiPriority w:val="99"/>
    <w:unhideWhenUsed/>
    <w:rsid w:val="002117A0"/>
    <w:pPr>
      <w:tabs>
        <w:tab w:val="center" w:pos="4680"/>
        <w:tab w:val="right" w:pos="9360"/>
      </w:tabs>
    </w:pPr>
  </w:style>
  <w:style w:type="character" w:customStyle="1" w:styleId="HeaderChar">
    <w:name w:val="Header Char"/>
    <w:basedOn w:val="DefaultParagraphFont"/>
    <w:link w:val="Header"/>
    <w:uiPriority w:val="99"/>
    <w:rsid w:val="002117A0"/>
  </w:style>
  <w:style w:type="paragraph" w:styleId="Footer">
    <w:name w:val="footer"/>
    <w:basedOn w:val="Normal"/>
    <w:link w:val="FooterChar"/>
    <w:uiPriority w:val="99"/>
    <w:unhideWhenUsed/>
    <w:rsid w:val="002117A0"/>
    <w:pPr>
      <w:tabs>
        <w:tab w:val="center" w:pos="4680"/>
        <w:tab w:val="right" w:pos="9360"/>
      </w:tabs>
    </w:pPr>
  </w:style>
  <w:style w:type="character" w:customStyle="1" w:styleId="FooterChar">
    <w:name w:val="Footer Char"/>
    <w:basedOn w:val="DefaultParagraphFont"/>
    <w:link w:val="Footer"/>
    <w:uiPriority w:val="99"/>
    <w:rsid w:val="0021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files.ontario.ca/moh-guidelines-personal-service-settings-guideline-en-2019.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ajic.2009.06.006"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open.toronto.ca/dataset/bodysaf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15</Pages>
  <Words>2947</Words>
  <Characters>16803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Fatemeh Shahabdehkordi</cp:lastModifiedBy>
  <cp:revision>2</cp:revision>
  <dcterms:created xsi:type="dcterms:W3CDTF">2026-04-19T16:08:00Z</dcterms:created>
  <dcterms:modified xsi:type="dcterms:W3CDTF">2026-04-19T21:22:00Z</dcterms:modified>
</cp:coreProperties>
</file>