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579F" w14:textId="77777777" w:rsidR="000B1CD8" w:rsidRDefault="00000000" w:rsidP="006424E9">
      <w:pPr>
        <w:spacing w:before="2880" w:after="240"/>
        <w:jc w:val="center"/>
      </w:pPr>
      <w:r>
        <w:rPr>
          <w:b/>
          <w:bCs/>
          <w:sz w:val="28"/>
          <w:szCs w:val="28"/>
        </w:rPr>
        <w:t xml:space="preserve">Toronto </w:t>
      </w:r>
      <w:proofErr w:type="spellStart"/>
      <w:r>
        <w:rPr>
          <w:b/>
          <w:bCs/>
          <w:sz w:val="28"/>
          <w:szCs w:val="28"/>
        </w:rPr>
        <w:t>BodySafe</w:t>
      </w:r>
      <w:proofErr w:type="spellEnd"/>
      <w:r>
        <w:rPr>
          <w:b/>
          <w:bCs/>
          <w:sz w:val="28"/>
          <w:szCs w:val="28"/>
        </w:rPr>
        <w:t xml:space="preserve"> Public Health Inspections:</w:t>
      </w:r>
    </w:p>
    <w:p w14:paraId="794D6BF7" w14:textId="77777777" w:rsidR="000B1CD8" w:rsidRDefault="00000000">
      <w:pPr>
        <w:spacing w:after="240"/>
        <w:jc w:val="center"/>
      </w:pPr>
      <w:r>
        <w:rPr>
          <w:b/>
          <w:bCs/>
          <w:sz w:val="28"/>
          <w:szCs w:val="28"/>
        </w:rPr>
        <w:t>Inferential Statistics and Hypothesis Testing</w:t>
      </w:r>
    </w:p>
    <w:p w14:paraId="2A33D094" w14:textId="77777777" w:rsidR="000B1CD8" w:rsidRDefault="00000000">
      <w:pPr>
        <w:spacing w:before="480" w:after="240"/>
        <w:jc w:val="center"/>
      </w:pPr>
      <w:r>
        <w:t>Fatemeh Shahabdehkordi</w:t>
      </w:r>
    </w:p>
    <w:p w14:paraId="20D57C55" w14:textId="77777777" w:rsidR="000B1CD8" w:rsidRDefault="00000000">
      <w:pPr>
        <w:spacing w:after="240"/>
        <w:jc w:val="center"/>
      </w:pPr>
      <w:r>
        <w:t>Northeastern University</w:t>
      </w:r>
    </w:p>
    <w:p w14:paraId="390F960E" w14:textId="77777777" w:rsidR="000B1CD8" w:rsidRDefault="00000000">
      <w:pPr>
        <w:spacing w:after="240"/>
        <w:jc w:val="center"/>
      </w:pPr>
      <w:r>
        <w:t>Final Project Milestone 2</w:t>
      </w:r>
    </w:p>
    <w:p w14:paraId="25FC7460" w14:textId="10691514" w:rsidR="000B1CD8" w:rsidRDefault="00000000">
      <w:pPr>
        <w:spacing w:after="240"/>
        <w:jc w:val="center"/>
      </w:pPr>
      <w:r>
        <w:t>May</w:t>
      </w:r>
      <w:r w:rsidR="006424E9">
        <w:t xml:space="preserve"> 3,</w:t>
      </w:r>
      <w:r>
        <w:t xml:space="preserve"> 2026</w:t>
      </w:r>
    </w:p>
    <w:p w14:paraId="61093FD2" w14:textId="77777777" w:rsidR="000B1CD8" w:rsidRDefault="00000000">
      <w:r>
        <w:br/>
      </w:r>
    </w:p>
    <w:p w14:paraId="3AE236ED" w14:textId="77777777" w:rsidR="000B1CD8" w:rsidRPr="006424E9" w:rsidRDefault="00000000">
      <w:pPr>
        <w:pStyle w:val="Heading1"/>
        <w:rPr>
          <w:color w:val="80340D" w:themeColor="accent2" w:themeShade="80"/>
        </w:rPr>
      </w:pPr>
      <w:r w:rsidRPr="006424E9">
        <w:rPr>
          <w:color w:val="80340D" w:themeColor="accent2" w:themeShade="80"/>
        </w:rPr>
        <w:t>1. Introduction</w:t>
      </w:r>
    </w:p>
    <w:p w14:paraId="1362018F" w14:textId="77777777" w:rsidR="000B1CD8" w:rsidRDefault="00000000">
      <w:pPr>
        <w:spacing w:before="120" w:after="120"/>
        <w:ind w:firstLine="720"/>
      </w:pPr>
      <w:r>
        <w:t xml:space="preserve">This report presents inferential statistical analysis of the Toronto </w:t>
      </w:r>
      <w:proofErr w:type="spellStart"/>
      <w:r>
        <w:t>BodySafe</w:t>
      </w:r>
      <w:proofErr w:type="spellEnd"/>
      <w:r>
        <w:t xml:space="preserve"> Public Health Inspection dataset, sourced from the City of Toronto Open Data Portal (City of Toronto, 2024). Building on the Exploratory Data Analysis completed in Milestone 1, this analysis identifies five specific questions about the population parameters of personal service establishment compliance in Toronto. Each question is answered through formal hypothesis testing using one-sample and two-sample proportion tests. The significance level for all tests is set at α = 0.05. The dataset contains 11,915 inspection records spanning April 2022 to April 2026, covering personal service settings such as hair salons, nail studios, tattoo </w:t>
      </w:r>
      <w:proofErr w:type="spellStart"/>
      <w:r>
        <w:t>parlours</w:t>
      </w:r>
      <w:proofErr w:type="spellEnd"/>
      <w:r>
        <w:t>, and body piercing establishments regulated under Ontario Regulation 136/18 of the Health Protection and Promotion Act.</w:t>
      </w:r>
    </w:p>
    <w:p w14:paraId="31E28E29" w14:textId="77777777" w:rsidR="000B1CD8" w:rsidRPr="006424E9" w:rsidRDefault="00000000">
      <w:pPr>
        <w:pStyle w:val="Heading1"/>
        <w:rPr>
          <w:color w:val="80340D" w:themeColor="accent2" w:themeShade="80"/>
        </w:rPr>
      </w:pPr>
      <w:r w:rsidRPr="006424E9">
        <w:rPr>
          <w:color w:val="80340D" w:themeColor="accent2" w:themeShade="80"/>
        </w:rPr>
        <w:t>2. Research Questions</w:t>
      </w:r>
    </w:p>
    <w:p w14:paraId="5B74921C" w14:textId="77777777" w:rsidR="000B1CD8" w:rsidRDefault="00000000">
      <w:pPr>
        <w:spacing w:before="120" w:after="120"/>
        <w:ind w:firstLine="720"/>
      </w:pPr>
      <w:r>
        <w:t>The following five research questions were identified based on findings from the Milestone 1 exploratory data analysis:</w:t>
      </w:r>
    </w:p>
    <w:p w14:paraId="2216267F" w14:textId="77777777" w:rsidR="000B1CD8" w:rsidRDefault="00000000">
      <w:pPr>
        <w:spacing w:before="120" w:after="120"/>
        <w:ind w:firstLine="720"/>
      </w:pPr>
      <w:r>
        <w:t>Question 1 (One-Sample): Is the true non-compliance rate in Toronto personal service establishments significantly different from 20%?</w:t>
      </w:r>
    </w:p>
    <w:p w14:paraId="46CFA64F" w14:textId="77777777" w:rsidR="000B1CD8" w:rsidRDefault="00000000">
      <w:pPr>
        <w:spacing w:before="120" w:after="120"/>
        <w:ind w:firstLine="720"/>
      </w:pPr>
      <w:r>
        <w:lastRenderedPageBreak/>
        <w:t>Question 2 (Two-Sample): Do high-risk services (tattooing, body piercing, micropigmentation, and injectable personal services) have a higher non-compliance rate than lower-risk services (aesthetics, barbering and hairdressing, nails, and ear piercing)?</w:t>
      </w:r>
    </w:p>
    <w:p w14:paraId="272C0C2D" w14:textId="77777777" w:rsidR="000B1CD8" w:rsidRDefault="00000000">
      <w:pPr>
        <w:spacing w:before="120" w:after="120"/>
        <w:ind w:firstLine="720"/>
      </w:pPr>
      <w:r>
        <w:t>Question 3 (Two-Sample): Does Body Piercing have a higher proportion of Crucial infractions compared to Nails?</w:t>
      </w:r>
    </w:p>
    <w:p w14:paraId="5FDBEE44" w14:textId="77777777" w:rsidR="000B1CD8" w:rsidRDefault="00000000">
      <w:pPr>
        <w:spacing w:before="120" w:after="120"/>
        <w:ind w:firstLine="720"/>
      </w:pPr>
      <w:r>
        <w:t>Question 4 (One-Sample): Is the true proportion of Crucial infractions in the dataset significantly different from 80%?</w:t>
      </w:r>
    </w:p>
    <w:p w14:paraId="13509154" w14:textId="77777777" w:rsidR="000B1CD8" w:rsidRDefault="00000000">
      <w:pPr>
        <w:spacing w:before="120" w:after="120"/>
        <w:ind w:firstLine="720"/>
      </w:pPr>
      <w:r>
        <w:t>Question 5 (Two-Sample): Does Tattooing have a higher non-compliance rate than Barbering and Hairdressing?</w:t>
      </w:r>
    </w:p>
    <w:p w14:paraId="14E40934" w14:textId="77777777" w:rsidR="000B1CD8" w:rsidRPr="006424E9" w:rsidRDefault="00000000">
      <w:pPr>
        <w:pStyle w:val="Heading1"/>
        <w:rPr>
          <w:color w:val="80340D" w:themeColor="accent2" w:themeShade="80"/>
        </w:rPr>
      </w:pPr>
      <w:r w:rsidRPr="006424E9">
        <w:rPr>
          <w:color w:val="80340D" w:themeColor="accent2" w:themeShade="80"/>
        </w:rPr>
        <w:t>3. Hypothesis Testing</w:t>
      </w:r>
    </w:p>
    <w:p w14:paraId="0B41C086" w14:textId="22543DD0" w:rsidR="000B1CD8" w:rsidRPr="006424E9" w:rsidRDefault="00000000">
      <w:pPr>
        <w:pStyle w:val="Heading2"/>
        <w:rPr>
          <w:color w:val="80340D" w:themeColor="accent2" w:themeShade="80"/>
        </w:rPr>
      </w:pPr>
      <w:r w:rsidRPr="006424E9">
        <w:rPr>
          <w:color w:val="80340D" w:themeColor="accent2" w:themeShade="80"/>
        </w:rPr>
        <w:t>Test 1: Non-Compliance Rate vs. 20% Benchmark (One-Sample)</w:t>
      </w:r>
    </w:p>
    <w:p w14:paraId="748383BB" w14:textId="77777777" w:rsidR="000B1CD8" w:rsidRDefault="00000000">
      <w:pPr>
        <w:spacing w:before="120" w:after="120"/>
        <w:ind w:firstLine="720"/>
      </w:pPr>
      <w:r>
        <w:t>This is a one-sample proportion z-test comparing the observed non-compliance rate against a benchmark value of 20%. Non-compliance is defined as any inspection resulting in a Conditional Pass or Closed outcome. The benchmark of 20% was selected as a round reference value close to the observed sample rate.</w:t>
      </w:r>
    </w:p>
    <w:p w14:paraId="74619FD5" w14:textId="77777777" w:rsidR="000B1CD8" w:rsidRDefault="00000000">
      <w:pPr>
        <w:spacing w:before="120" w:after="120"/>
        <w:ind w:firstLine="720"/>
      </w:pPr>
      <w:r>
        <w:t>H₀: p = 0.20 (the true non-compliance rate is 20%)</w:t>
      </w:r>
    </w:p>
    <w:p w14:paraId="603D94CE" w14:textId="77777777" w:rsidR="000B1CD8" w:rsidRDefault="00000000">
      <w:pPr>
        <w:spacing w:before="120" w:after="120"/>
        <w:ind w:firstLine="720"/>
      </w:pPr>
      <w:r>
        <w:t>Hₐ: p ≠ 0.20 (the true non-compliance rate is different from 20%)</w:t>
      </w:r>
    </w:p>
    <w:p w14:paraId="3582885D" w14:textId="77777777" w:rsidR="000B1CD8" w:rsidRDefault="00000000">
      <w:pPr>
        <w:spacing w:before="120" w:after="120"/>
        <w:ind w:firstLine="720"/>
      </w:pPr>
      <w:r>
        <w:t xml:space="preserve">The test was conducted using the </w:t>
      </w:r>
      <w:proofErr w:type="spellStart"/>
      <w:r>
        <w:t>prop.test</w:t>
      </w:r>
      <w:proofErr w:type="spellEnd"/>
      <w:r>
        <w:t>() function in R with a two-sided alternative and no continuity correction, appropriate for large samples. The sample contained 11,915 inspections with 2,648 non-compliant outcomes (Conditional Pass = 2,451; Closed = 197), yielding a sample proportion of 0.2222.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B1CD8" w14:paraId="7E2BD05E" w14:textId="77777777" w:rsidTr="006424E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6BB63658" w14:textId="77777777" w:rsidR="000B1CD8" w:rsidRDefault="00000000">
            <w:r>
              <w:rPr>
                <w:b/>
                <w:bCs/>
              </w:rPr>
              <w:t>Statistic</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484FB0A6" w14:textId="77777777" w:rsidR="000B1CD8" w:rsidRDefault="00000000">
            <w:r>
              <w:rPr>
                <w:b/>
                <w:bCs/>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3438B2B0" w14:textId="77777777" w:rsidR="000B1CD8" w:rsidRDefault="00000000">
            <w:r>
              <w:rPr>
                <w:b/>
                <w:bCs/>
              </w:rPr>
              <w:t>Interpretation</w:t>
            </w:r>
          </w:p>
        </w:tc>
      </w:tr>
      <w:tr w:rsidR="000B1CD8" w14:paraId="08BDBA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59C75" w14:textId="77777777" w:rsidR="000B1CD8" w:rsidRDefault="00000000">
            <w:r>
              <w:t>Sample proportion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02D84" w14:textId="77777777" w:rsidR="000B1CD8" w:rsidRDefault="00000000">
            <w:r>
              <w:t>0.2222 (22.22%)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EE1EA" w14:textId="77777777" w:rsidR="000B1CD8" w:rsidRDefault="00000000">
            <w:r>
              <w:t>Observed non-compliance rate</w:t>
            </w:r>
          </w:p>
        </w:tc>
      </w:tr>
      <w:tr w:rsidR="000B1CD8" w14:paraId="368272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3018F" w14:textId="77777777" w:rsidR="000B1CD8" w:rsidRDefault="00000000">
            <w:r>
              <w:t>X-squared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FB640" w14:textId="77777777" w:rsidR="000B1CD8" w:rsidRDefault="00000000">
            <w:r>
              <w:t>36.836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F6CEC" w14:textId="77777777" w:rsidR="000B1CD8" w:rsidRDefault="00000000">
            <w:r>
              <w:t>Test statistic</w:t>
            </w:r>
          </w:p>
        </w:tc>
      </w:tr>
      <w:tr w:rsidR="000B1CD8" w14:paraId="160324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C42CA" w14:textId="77777777" w:rsidR="000B1CD8" w:rsidRDefault="00000000">
            <w:r>
              <w:t>P-value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B2296" w14:textId="77777777" w:rsidR="000B1CD8" w:rsidRDefault="00000000">
            <w:r>
              <w:t>1.285e-09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AC137" w14:textId="77777777" w:rsidR="000B1CD8" w:rsidRDefault="00000000">
            <w:r>
              <w:t>Far below α = 0.05</w:t>
            </w:r>
          </w:p>
        </w:tc>
      </w:tr>
      <w:tr w:rsidR="000B1CD8" w14:paraId="49B679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A4AEF" w14:textId="77777777" w:rsidR="000B1CD8" w:rsidRDefault="00000000">
            <w:r>
              <w:t>95% CI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96841" w14:textId="77777777" w:rsidR="000B1CD8" w:rsidRDefault="00000000">
            <w:r>
              <w:t>[0.2149, 0.2298]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12648" w14:textId="77777777" w:rsidR="000B1CD8" w:rsidRDefault="00000000">
            <w:r>
              <w:t>Does not include 0.20</w:t>
            </w:r>
          </w:p>
        </w:tc>
      </w:tr>
      <w:tr w:rsidR="000B1CD8" w14:paraId="6CFAC8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F93D6" w14:textId="77777777" w:rsidR="000B1CD8" w:rsidRDefault="00000000">
            <w:r>
              <w:t>Decision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77A5F" w14:textId="77777777" w:rsidR="000B1CD8" w:rsidRDefault="00000000">
            <w:r>
              <w:t>Reject H₀</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E4B47" w14:textId="0696B909" w:rsidR="000B1CD8" w:rsidRDefault="006424E9">
            <w:r>
              <w:t>Results are</w:t>
            </w:r>
            <w:r w:rsidR="00000000">
              <w:t xml:space="preserve"> statistically significant</w:t>
            </w:r>
          </w:p>
        </w:tc>
      </w:tr>
    </w:tbl>
    <w:p w14:paraId="6BEC701C" w14:textId="77777777" w:rsidR="000B1CD8" w:rsidRDefault="00000000">
      <w:pPr>
        <w:spacing w:before="120" w:after="120"/>
        <w:ind w:firstLine="720"/>
      </w:pPr>
      <w:r>
        <w:t>The p-value of 1.285e-09 is far below the significance threshold of 0.05, and the 95% confidence interval of [0.2149, 0.2298] does not include the benchmark value of 0.20. Therefore, H₀ is rejected. There is strong statistical evidence that the true non-compliance rate is significantly different from 20%, and the observed rate of 22.22% is not attributable to random chance. This finding confirms that roughly one in five inspections identifies a genuine public health violation in Toronto personal service establishments.</w:t>
      </w:r>
    </w:p>
    <w:p w14:paraId="6895C680" w14:textId="7C80C277" w:rsidR="000B1CD8" w:rsidRPr="006424E9" w:rsidRDefault="00000000">
      <w:pPr>
        <w:pStyle w:val="Heading2"/>
        <w:rPr>
          <w:color w:val="80340D" w:themeColor="accent2" w:themeShade="80"/>
        </w:rPr>
      </w:pPr>
      <w:r w:rsidRPr="006424E9">
        <w:rPr>
          <w:color w:val="80340D" w:themeColor="accent2" w:themeShade="80"/>
        </w:rPr>
        <w:lastRenderedPageBreak/>
        <w:t>Test 2: High-Risk vs. Lower-Risk Non-Compliance (Two-Sample)</w:t>
      </w:r>
    </w:p>
    <w:p w14:paraId="54ECFEBB" w14:textId="77777777" w:rsidR="000B1CD8" w:rsidRDefault="00000000">
      <w:pPr>
        <w:spacing w:before="120" w:after="120"/>
        <w:ind w:firstLine="720"/>
      </w:pPr>
      <w:r>
        <w:t>This is a two-sample proportion z-test comparing non-compliance rates between two risk groups. High-risk services include tattooing, body piercing, micropigmentation/microblading, and injectable personal services. Lower-risk services include aesthetics, barbering and hairdressing, nails, and ear piercing. The grouping is based on whether the service involves skin penetration and direct bloodborne pathogen risk.</w:t>
      </w:r>
    </w:p>
    <w:p w14:paraId="22F52ACB" w14:textId="77777777" w:rsidR="000B1CD8" w:rsidRDefault="00000000">
      <w:pPr>
        <w:spacing w:before="120" w:after="120"/>
        <w:ind w:firstLine="720"/>
      </w:pPr>
      <w:r>
        <w:t>H₀: p₁ = p₂ (high-risk and lower-risk services have equal non-compliance rates)</w:t>
      </w:r>
    </w:p>
    <w:p w14:paraId="327785F0" w14:textId="77777777" w:rsidR="000B1CD8" w:rsidRDefault="00000000">
      <w:pPr>
        <w:spacing w:before="120" w:after="120"/>
        <w:ind w:firstLine="720"/>
      </w:pPr>
      <w:r>
        <w:t>Hₐ: p₁ &gt; p₂ (high-risk services have a higher non-compliance rate than lower-risk services)</w:t>
      </w:r>
    </w:p>
    <w:p w14:paraId="2E5A1A03" w14:textId="77777777" w:rsidR="000B1CD8" w:rsidRDefault="00000000">
      <w:pPr>
        <w:spacing w:before="120" w:after="120"/>
        <w:ind w:firstLine="720"/>
      </w:pPr>
      <w:r>
        <w:t xml:space="preserve">The test was conducted using </w:t>
      </w:r>
      <w:proofErr w:type="spellStart"/>
      <w:r>
        <w:t>prop.test</w:t>
      </w:r>
      <w:proofErr w:type="spellEnd"/>
      <w:r>
        <w:t>() in R with a one-sided greater alternative. High-risk services had 438 non-compliant inspections out of 1,473 total. Lower-risk services had 2,210 non-compliant inspections out of 10,442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B1CD8" w14:paraId="62C0E2EE" w14:textId="77777777" w:rsidTr="006424E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51A4A60D" w14:textId="77777777" w:rsidR="000B1CD8" w:rsidRDefault="00000000">
            <w:r>
              <w:rPr>
                <w:b/>
                <w:bCs/>
              </w:rPr>
              <w:t>Statistic</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34832D12" w14:textId="77777777" w:rsidR="000B1CD8" w:rsidRDefault="00000000">
            <w:r>
              <w:rPr>
                <w:b/>
                <w:bCs/>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2764D80B" w14:textId="77777777" w:rsidR="000B1CD8" w:rsidRDefault="00000000">
            <w:r>
              <w:rPr>
                <w:b/>
                <w:bCs/>
              </w:rPr>
              <w:t>Interpretation</w:t>
            </w:r>
          </w:p>
        </w:tc>
      </w:tr>
      <w:tr w:rsidR="000B1CD8" w14:paraId="200B06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EA280" w14:textId="77777777" w:rsidR="000B1CD8" w:rsidRDefault="00000000">
            <w:r>
              <w:t>High-risk proportion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CBA67" w14:textId="77777777" w:rsidR="000B1CD8" w:rsidRDefault="00000000">
            <w:r>
              <w:t>0.2974 (29.74%)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7DA35" w14:textId="77777777" w:rsidR="000B1CD8" w:rsidRDefault="00000000">
            <w:r>
              <w:t>Non-compliance rate</w:t>
            </w:r>
          </w:p>
        </w:tc>
      </w:tr>
      <w:tr w:rsidR="000B1CD8" w14:paraId="60AAC0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3A339" w14:textId="77777777" w:rsidR="000B1CD8" w:rsidRDefault="00000000">
            <w:r>
              <w:t>Lower-risk proportion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9B10D" w14:textId="77777777" w:rsidR="000B1CD8" w:rsidRDefault="00000000">
            <w:r>
              <w:t>0.2116 (21.16%)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A166A" w14:textId="77777777" w:rsidR="000B1CD8" w:rsidRDefault="00000000">
            <w:r>
              <w:t>Non-compliance rate</w:t>
            </w:r>
          </w:p>
        </w:tc>
      </w:tr>
      <w:tr w:rsidR="000B1CD8" w14:paraId="253465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48F88" w14:textId="77777777" w:rsidR="000B1CD8" w:rsidRDefault="00000000">
            <w:r>
              <w:t>X-squared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312E5" w14:textId="77777777" w:rsidR="000B1CD8" w:rsidRDefault="00000000">
            <w:r>
              <w:t>54.86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8C7C3" w14:textId="77777777" w:rsidR="000B1CD8" w:rsidRDefault="00000000">
            <w:r>
              <w:t>Test statistic</w:t>
            </w:r>
          </w:p>
        </w:tc>
      </w:tr>
      <w:tr w:rsidR="000B1CD8" w14:paraId="129B9B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FE0B1" w14:textId="77777777" w:rsidR="000B1CD8" w:rsidRDefault="00000000">
            <w:r>
              <w:t>P-value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BC156" w14:textId="77777777" w:rsidR="000B1CD8" w:rsidRDefault="00000000">
            <w:r>
              <w:t>6.471e-14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4F4AF" w14:textId="77777777" w:rsidR="000B1CD8" w:rsidRDefault="00000000">
            <w:r>
              <w:t>Far below α = 0.05</w:t>
            </w:r>
          </w:p>
        </w:tc>
      </w:tr>
      <w:tr w:rsidR="000B1CD8" w14:paraId="68CA9C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ADF49" w14:textId="77777777" w:rsidR="000B1CD8" w:rsidRDefault="00000000">
            <w:r>
              <w:t>95% CI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4F1C7" w14:textId="77777777" w:rsidR="000B1CD8" w:rsidRDefault="00000000">
            <w:r>
              <w:t>[0.0650, 1.000]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C1551" w14:textId="77777777" w:rsidR="000B1CD8" w:rsidRDefault="00000000">
            <w:r>
              <w:t>Difference is at least 6.5%</w:t>
            </w:r>
          </w:p>
        </w:tc>
      </w:tr>
      <w:tr w:rsidR="000B1CD8" w14:paraId="7FFCE4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FCAD5" w14:textId="77777777" w:rsidR="000B1CD8" w:rsidRDefault="00000000">
            <w:r>
              <w:t>Decision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52857" w14:textId="77777777" w:rsidR="000B1CD8" w:rsidRDefault="00000000">
            <w:r>
              <w:t>Reject H₀</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97F14" w14:textId="77777777" w:rsidR="000B1CD8" w:rsidRDefault="00000000">
            <w:r>
              <w:t>Result is statistically significant</w:t>
            </w:r>
          </w:p>
        </w:tc>
      </w:tr>
    </w:tbl>
    <w:p w14:paraId="23CE529C" w14:textId="77777777" w:rsidR="000B1CD8" w:rsidRDefault="00000000">
      <w:pPr>
        <w:spacing w:before="120" w:after="120"/>
        <w:ind w:firstLine="720"/>
      </w:pPr>
      <w:r>
        <w:t>The p-value of 6.471e-14 is essentially zero and far below the 0.05 threshold. H₀ is rejected. High-risk services have a statistically significantly higher non-compliance rate than lower-risk services. The difference of approximately 8.58 percentage points is real and not due to random variation. This finding has direct public health policy implications, suggesting that skin-penetrating service establishments should be subject to more frequent regulatory inspection cycles.</w:t>
      </w:r>
    </w:p>
    <w:p w14:paraId="3D43E3D8" w14:textId="4EDB4C27" w:rsidR="000B1CD8" w:rsidRPr="006424E9" w:rsidRDefault="00000000">
      <w:pPr>
        <w:pStyle w:val="Heading2"/>
        <w:rPr>
          <w:color w:val="80340D" w:themeColor="accent2" w:themeShade="80"/>
        </w:rPr>
      </w:pPr>
      <w:r w:rsidRPr="006424E9">
        <w:rPr>
          <w:color w:val="80340D" w:themeColor="accent2" w:themeShade="80"/>
        </w:rPr>
        <w:t>Test 3: Proportion of Crucial Infractions: Body Piercing vs. Nails (Two-Sample)</w:t>
      </w:r>
    </w:p>
    <w:p w14:paraId="70889FA5" w14:textId="77777777" w:rsidR="000B1CD8" w:rsidRDefault="00000000">
      <w:pPr>
        <w:spacing w:before="120" w:after="120"/>
        <w:ind w:firstLine="720"/>
      </w:pPr>
      <w:r>
        <w:t>This is a two-sample proportion z-test comparing the proportion of Crucial infractions between Body Piercing and Nails establishments. Crucial infractions represent the most severe violation level under Ontario Regulation 136/18, posing direct risk of bloodborne pathogen transmission.</w:t>
      </w:r>
    </w:p>
    <w:p w14:paraId="44617666" w14:textId="77777777" w:rsidR="000B1CD8" w:rsidRDefault="00000000">
      <w:pPr>
        <w:spacing w:before="120" w:after="120"/>
        <w:ind w:firstLine="720"/>
      </w:pPr>
      <w:r>
        <w:t>H₀: p₁ = p₂ (Body Piercing and Nails have equal proportions of Crucial infractions)</w:t>
      </w:r>
    </w:p>
    <w:p w14:paraId="6A0811D3" w14:textId="77777777" w:rsidR="000B1CD8" w:rsidRDefault="00000000">
      <w:pPr>
        <w:spacing w:before="120" w:after="120"/>
        <w:ind w:firstLine="720"/>
      </w:pPr>
      <w:r>
        <w:t>Hₐ: p₁ &gt; p₂ (Body Piercing has a higher proportion of Crucial infractions than Nails)</w:t>
      </w:r>
    </w:p>
    <w:p w14:paraId="52A0C5A3" w14:textId="77777777" w:rsidR="000B1CD8" w:rsidRDefault="00000000">
      <w:pPr>
        <w:spacing w:before="120" w:after="120"/>
        <w:ind w:firstLine="720"/>
      </w:pPr>
      <w:r>
        <w:t xml:space="preserve">The test was conducted using </w:t>
      </w:r>
      <w:proofErr w:type="spellStart"/>
      <w:r>
        <w:t>prop.test</w:t>
      </w:r>
      <w:proofErr w:type="spellEnd"/>
      <w:r>
        <w:t>() in R with a one-sided greater alternative. Body Piercing had 103 Crucial infractions out of 108 total infractions. Nails had 710 Crucial infractions out of 763 total infractions.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B1CD8" w14:paraId="125FC59C" w14:textId="77777777" w:rsidTr="006424E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7CCACCF6" w14:textId="77777777" w:rsidR="000B1CD8" w:rsidRDefault="00000000">
            <w:r>
              <w:rPr>
                <w:b/>
                <w:bCs/>
              </w:rPr>
              <w:lastRenderedPageBreak/>
              <w:t>Statistic</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0B25F5E7" w14:textId="77777777" w:rsidR="000B1CD8" w:rsidRDefault="00000000">
            <w:r>
              <w:rPr>
                <w:b/>
                <w:bCs/>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4A574E33" w14:textId="77777777" w:rsidR="000B1CD8" w:rsidRDefault="00000000">
            <w:r>
              <w:rPr>
                <w:b/>
                <w:bCs/>
              </w:rPr>
              <w:t>Interpretation</w:t>
            </w:r>
          </w:p>
        </w:tc>
      </w:tr>
      <w:tr w:rsidR="000B1CD8" w14:paraId="1FFCC5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CA54B" w14:textId="77777777" w:rsidR="000B1CD8" w:rsidRDefault="00000000">
            <w:r>
              <w:t>Body Piercing proportion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E3437" w14:textId="77777777" w:rsidR="000B1CD8" w:rsidRDefault="00000000">
            <w:r>
              <w:t>0.9537 (95.37%)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6197D" w14:textId="77777777" w:rsidR="000B1CD8" w:rsidRDefault="00000000">
            <w:r>
              <w:t>Crucial infraction rate</w:t>
            </w:r>
          </w:p>
        </w:tc>
      </w:tr>
      <w:tr w:rsidR="000B1CD8" w14:paraId="589CF4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FB68" w14:textId="77777777" w:rsidR="000B1CD8" w:rsidRDefault="00000000">
            <w:r>
              <w:t>Nails proportion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290C2" w14:textId="77777777" w:rsidR="000B1CD8" w:rsidRDefault="00000000">
            <w:r>
              <w:t>0.9305 (93.05%)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8435C" w14:textId="77777777" w:rsidR="000B1CD8" w:rsidRDefault="00000000">
            <w:r>
              <w:t>Crucial infraction rate</w:t>
            </w:r>
          </w:p>
        </w:tc>
      </w:tr>
      <w:tr w:rsidR="000B1CD8" w14:paraId="7C71D9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D9732" w14:textId="77777777" w:rsidR="000B1CD8" w:rsidRDefault="00000000">
            <w:r>
              <w:t>X-squared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E243E" w14:textId="77777777" w:rsidR="000B1CD8" w:rsidRDefault="00000000">
            <w:r>
              <w:t>0.817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13883" w14:textId="77777777" w:rsidR="000B1CD8" w:rsidRDefault="00000000">
            <w:r>
              <w:t>Test statistic</w:t>
            </w:r>
          </w:p>
        </w:tc>
      </w:tr>
      <w:tr w:rsidR="000B1CD8" w14:paraId="66BA5E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64AAD" w14:textId="77777777" w:rsidR="000B1CD8" w:rsidRDefault="00000000">
            <w:r>
              <w:t>P-value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B9DE6" w14:textId="77777777" w:rsidR="000B1CD8" w:rsidRDefault="00000000">
            <w:r>
              <w:t>0.183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54C3C" w14:textId="77777777" w:rsidR="000B1CD8" w:rsidRDefault="00000000">
            <w:r>
              <w:t>Above α = 0.05</w:t>
            </w:r>
          </w:p>
        </w:tc>
      </w:tr>
      <w:tr w:rsidR="000B1CD8" w14:paraId="5E496B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3E9D8" w14:textId="77777777" w:rsidR="000B1CD8" w:rsidRDefault="00000000">
            <w:r>
              <w:t>95% CI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B140" w14:textId="77777777" w:rsidR="000B1CD8" w:rsidRDefault="00000000">
            <w:r>
              <w:t>[-0.013, 1.000]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2BD6A" w14:textId="77777777" w:rsidR="000B1CD8" w:rsidRDefault="00000000">
            <w:r>
              <w:t>Includes zero</w:t>
            </w:r>
          </w:p>
        </w:tc>
      </w:tr>
      <w:tr w:rsidR="000B1CD8" w14:paraId="56A87A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20EEB" w14:textId="77777777" w:rsidR="000B1CD8" w:rsidRDefault="00000000">
            <w:r>
              <w:t>Decision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3183B" w14:textId="77777777" w:rsidR="000B1CD8" w:rsidRDefault="00000000">
            <w:r>
              <w:t>Fail to Reject H₀</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2E28" w14:textId="77777777" w:rsidR="000B1CD8" w:rsidRDefault="00000000">
            <w:r>
              <w:t>Not statistically significant</w:t>
            </w:r>
          </w:p>
        </w:tc>
      </w:tr>
    </w:tbl>
    <w:p w14:paraId="18629291" w14:textId="77777777" w:rsidR="000B1CD8" w:rsidRDefault="00000000">
      <w:pPr>
        <w:spacing w:before="120" w:after="120"/>
        <w:ind w:firstLine="720"/>
      </w:pPr>
      <w:r>
        <w:t>The p-value of 0.183 exceeds the significance threshold of 0.05, and the confidence interval includes zero. Therefore, H₀ is not rejected. There is insufficient statistical evidence that Body Piercing has a significantly higher proportion of Crucial infractions than Nails. However, a notable finding emerges from the sample proportions themselves: both service types exhibit extremely high Crucial infraction rates of 95.37% and 93.05% respectively. This indicates that when violations are found in either category, they are almost universally of the most dangerous type, representing a serious and consistent public health concern across both services.</w:t>
      </w:r>
    </w:p>
    <w:p w14:paraId="189D9633" w14:textId="14775CF6" w:rsidR="000B1CD8" w:rsidRPr="006424E9" w:rsidRDefault="00000000">
      <w:pPr>
        <w:pStyle w:val="Heading2"/>
        <w:rPr>
          <w:color w:val="80340D" w:themeColor="accent2" w:themeShade="80"/>
        </w:rPr>
      </w:pPr>
      <w:r w:rsidRPr="006424E9">
        <w:rPr>
          <w:color w:val="80340D" w:themeColor="accent2" w:themeShade="80"/>
        </w:rPr>
        <w:t>Test 4: Proportion of Crucial Infractions vs. 80% Benchmark (One-Sample)</w:t>
      </w:r>
    </w:p>
    <w:p w14:paraId="7097EDFA" w14:textId="77777777" w:rsidR="000B1CD8" w:rsidRDefault="00000000">
      <w:pPr>
        <w:spacing w:before="120" w:after="120"/>
        <w:ind w:firstLine="720"/>
      </w:pPr>
      <w:r>
        <w:t>This is a one-sample proportion z-test examining whether the true proportion of Crucial infractions across all inspections is significantly different from 80%. The benchmark of 80% was selected as a conservative reference point below the observed sample rate of 83.41% identified in Milestone 1.</w:t>
      </w:r>
    </w:p>
    <w:p w14:paraId="0F918CA7" w14:textId="77777777" w:rsidR="000B1CD8" w:rsidRDefault="00000000">
      <w:pPr>
        <w:spacing w:before="120" w:after="120"/>
        <w:ind w:firstLine="720"/>
      </w:pPr>
      <w:r>
        <w:t>H₀: p = 0.80 (the true proportion of Crucial infractions is 80%)</w:t>
      </w:r>
    </w:p>
    <w:p w14:paraId="5DCDADD2" w14:textId="77777777" w:rsidR="000B1CD8" w:rsidRDefault="00000000">
      <w:pPr>
        <w:spacing w:before="120" w:after="120"/>
        <w:ind w:firstLine="720"/>
      </w:pPr>
      <w:r>
        <w:t>Hₐ: p ≠ 0.80 (the true proportion of Crucial infractions is different from 80%)</w:t>
      </w:r>
    </w:p>
    <w:p w14:paraId="3692323F" w14:textId="77777777" w:rsidR="000B1CD8" w:rsidRDefault="00000000">
      <w:pPr>
        <w:spacing w:before="120" w:after="120"/>
        <w:ind w:firstLine="720"/>
      </w:pPr>
      <w:r>
        <w:t xml:space="preserve">The test was conducted using </w:t>
      </w:r>
      <w:proofErr w:type="spellStart"/>
      <w:r>
        <w:t>prop.test</w:t>
      </w:r>
      <w:proofErr w:type="spellEnd"/>
      <w:r>
        <w:t>() in R with a two-sided alternative. Among 2,616 total infractions recorded, 2,182 were classified as Crucial.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B1CD8" w14:paraId="7F53B7B1" w14:textId="77777777" w:rsidTr="006424E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219E7660" w14:textId="77777777" w:rsidR="000B1CD8" w:rsidRDefault="00000000">
            <w:r>
              <w:rPr>
                <w:b/>
                <w:bCs/>
              </w:rPr>
              <w:t>Statistic</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57301265" w14:textId="77777777" w:rsidR="000B1CD8" w:rsidRDefault="00000000">
            <w:r>
              <w:rPr>
                <w:b/>
                <w:bCs/>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6A3E9E81" w14:textId="77777777" w:rsidR="000B1CD8" w:rsidRDefault="00000000">
            <w:r>
              <w:rPr>
                <w:b/>
                <w:bCs/>
              </w:rPr>
              <w:t>Interpretation</w:t>
            </w:r>
          </w:p>
        </w:tc>
      </w:tr>
      <w:tr w:rsidR="000B1CD8" w14:paraId="0A946C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AF2AB" w14:textId="77777777" w:rsidR="000B1CD8" w:rsidRDefault="00000000">
            <w:r>
              <w:t>Sample proportion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C5D38" w14:textId="77777777" w:rsidR="000B1CD8" w:rsidRDefault="00000000">
            <w:r>
              <w:t>0.8341 (83.41%)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0F1AE" w14:textId="77777777" w:rsidR="000B1CD8" w:rsidRDefault="00000000">
            <w:r>
              <w:t>Observed Crucial infraction rate</w:t>
            </w:r>
          </w:p>
        </w:tc>
      </w:tr>
      <w:tr w:rsidR="000B1CD8" w14:paraId="7235FD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12D27" w14:textId="77777777" w:rsidR="000B1CD8" w:rsidRDefault="00000000">
            <w:r>
              <w:t>X-squared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E2D53" w14:textId="77777777" w:rsidR="000B1CD8" w:rsidRDefault="00000000">
            <w:r>
              <w:t>19.01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DA23D" w14:textId="77777777" w:rsidR="000B1CD8" w:rsidRDefault="00000000">
            <w:r>
              <w:t>Test statistic</w:t>
            </w:r>
          </w:p>
        </w:tc>
      </w:tr>
      <w:tr w:rsidR="000B1CD8" w14:paraId="54BA2E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0E966" w14:textId="77777777" w:rsidR="000B1CD8" w:rsidRDefault="00000000">
            <w:r>
              <w:t>P-value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6B89D" w14:textId="77777777" w:rsidR="000B1CD8" w:rsidRDefault="00000000">
            <w:r>
              <w:t>1.301e-05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0840" w14:textId="77777777" w:rsidR="000B1CD8" w:rsidRDefault="00000000">
            <w:r>
              <w:t>Far below α = 0.05</w:t>
            </w:r>
          </w:p>
        </w:tc>
      </w:tr>
      <w:tr w:rsidR="000B1CD8" w14:paraId="12B560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92D37" w14:textId="77777777" w:rsidR="000B1CD8" w:rsidRDefault="00000000">
            <w:r>
              <w:t>95% CI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8407E" w14:textId="77777777" w:rsidR="000B1CD8" w:rsidRDefault="00000000">
            <w:r>
              <w:t>[0.8194, 0.8479]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EED60" w14:textId="77777777" w:rsidR="000B1CD8" w:rsidRDefault="00000000">
            <w:r>
              <w:t>Does not include 0.80</w:t>
            </w:r>
          </w:p>
        </w:tc>
      </w:tr>
      <w:tr w:rsidR="000B1CD8" w14:paraId="3CD289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B6CEB" w14:textId="77777777" w:rsidR="000B1CD8" w:rsidRDefault="00000000">
            <w:r>
              <w:t>Decision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E4725" w14:textId="77777777" w:rsidR="000B1CD8" w:rsidRDefault="00000000">
            <w:r>
              <w:t>Reject H₀</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C0CC3" w14:textId="77777777" w:rsidR="000B1CD8" w:rsidRDefault="00000000">
            <w:r>
              <w:t>Result is statistically significant</w:t>
            </w:r>
          </w:p>
        </w:tc>
      </w:tr>
    </w:tbl>
    <w:p w14:paraId="73E38D3A" w14:textId="77777777" w:rsidR="000B1CD8" w:rsidRDefault="00000000">
      <w:pPr>
        <w:spacing w:before="120" w:after="120"/>
        <w:ind w:firstLine="720"/>
      </w:pPr>
      <w:r>
        <w:t xml:space="preserve">The p-value of 1.301e-05 is far below the 0.05 threshold, and the 95% confidence interval of [0.8194, 0.8479] does not include the benchmark value of 0.80. H₀ is rejected. The true proportion of Crucial infractions is significantly higher than 80%. When Toronto personal </w:t>
      </w:r>
      <w:r>
        <w:lastRenderedPageBreak/>
        <w:t>service establishments violate health regulations, the violations are overwhelmingly of the most dangerous category, not minor administrative oversights. This finding underscores the severity and genuine public health risk associated with non-compliance in this sector.</w:t>
      </w:r>
    </w:p>
    <w:p w14:paraId="7BADECE4" w14:textId="4E334B6A" w:rsidR="000B1CD8" w:rsidRPr="006424E9" w:rsidRDefault="00000000">
      <w:pPr>
        <w:pStyle w:val="Heading2"/>
        <w:rPr>
          <w:color w:val="80340D" w:themeColor="accent2" w:themeShade="80"/>
        </w:rPr>
      </w:pPr>
      <w:r w:rsidRPr="006424E9">
        <w:rPr>
          <w:color w:val="80340D" w:themeColor="accent2" w:themeShade="80"/>
        </w:rPr>
        <w:t>Test 5: Non-Compliance Rate: Tattooing vs. Barbering and Hairdressing (Two-Sample)</w:t>
      </w:r>
    </w:p>
    <w:p w14:paraId="5A65ECB9" w14:textId="77777777" w:rsidR="000B1CD8" w:rsidRDefault="00000000">
      <w:pPr>
        <w:spacing w:before="120" w:after="120"/>
        <w:ind w:firstLine="720"/>
      </w:pPr>
      <w:r>
        <w:t>This is a two-sample proportion z-test comparing non-compliance rates between Tattooing and Barbering and Hairdressing establishments. These two service types were selected because Milestone 1 revealed a notable gap in their pass rates, with Tattooing at 71.1% and Barbering and Hairdressing at 85.2%.</w:t>
      </w:r>
    </w:p>
    <w:p w14:paraId="133765D4" w14:textId="77777777" w:rsidR="000B1CD8" w:rsidRDefault="00000000">
      <w:pPr>
        <w:spacing w:before="120" w:after="120"/>
        <w:ind w:firstLine="720"/>
      </w:pPr>
      <w:r>
        <w:t>H₀: p₁ = p₂ (Tattooing and Barbering and Hairdressing have equal non-compliance rates)</w:t>
      </w:r>
    </w:p>
    <w:p w14:paraId="4F4A29B7" w14:textId="77777777" w:rsidR="000B1CD8" w:rsidRDefault="00000000">
      <w:pPr>
        <w:spacing w:before="120" w:after="120"/>
        <w:ind w:firstLine="720"/>
      </w:pPr>
      <w:r>
        <w:t>Hₐ: p₁ &gt; p₂ (Tattooing has a higher non-compliance rate than Barbering and Hairdressing)</w:t>
      </w:r>
    </w:p>
    <w:p w14:paraId="6B2F380E" w14:textId="77777777" w:rsidR="000B1CD8" w:rsidRDefault="00000000">
      <w:pPr>
        <w:spacing w:before="120" w:after="120"/>
        <w:ind w:firstLine="720"/>
      </w:pPr>
      <w:r>
        <w:t xml:space="preserve">The test was conducted using </w:t>
      </w:r>
      <w:proofErr w:type="spellStart"/>
      <w:r>
        <w:t>prop.test</w:t>
      </w:r>
      <w:proofErr w:type="spellEnd"/>
      <w:r>
        <w:t>() in R with a one-sided greater alternative. Tattooing had 200 non-compliant inspections out of 693 total. Barbering and Hairdressing had 542 non-compliant inspections out of 3,651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B1CD8" w14:paraId="4653AF86" w14:textId="77777777" w:rsidTr="006424E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0D86647B" w14:textId="77777777" w:rsidR="000B1CD8" w:rsidRDefault="00000000">
            <w:r>
              <w:rPr>
                <w:b/>
                <w:bCs/>
              </w:rPr>
              <w:t>Statistic</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77C96BAB" w14:textId="77777777" w:rsidR="000B1CD8" w:rsidRDefault="00000000">
            <w:r>
              <w:rPr>
                <w:b/>
                <w:bCs/>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053466AD" w14:textId="77777777" w:rsidR="000B1CD8" w:rsidRDefault="00000000">
            <w:r>
              <w:rPr>
                <w:b/>
                <w:bCs/>
              </w:rPr>
              <w:t>Interpretation</w:t>
            </w:r>
          </w:p>
        </w:tc>
      </w:tr>
      <w:tr w:rsidR="000B1CD8" w14:paraId="5BB67B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175C2" w14:textId="77777777" w:rsidR="000B1CD8" w:rsidRDefault="00000000">
            <w:r>
              <w:t>Tattooing proportion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514A" w14:textId="77777777" w:rsidR="000B1CD8" w:rsidRDefault="00000000">
            <w:r>
              <w:t>0.2886 (28.86%)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E7E77" w14:textId="77777777" w:rsidR="000B1CD8" w:rsidRDefault="00000000">
            <w:r>
              <w:t>Non-compliance rate</w:t>
            </w:r>
          </w:p>
        </w:tc>
      </w:tr>
      <w:tr w:rsidR="000B1CD8" w14:paraId="716AE2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77A5A" w14:textId="77777777" w:rsidR="000B1CD8" w:rsidRDefault="00000000">
            <w:r>
              <w:t>Barbering proportion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80D2" w14:textId="77777777" w:rsidR="000B1CD8" w:rsidRDefault="00000000">
            <w:r>
              <w:t>0.1485 (14.85%)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3E5FD" w14:textId="77777777" w:rsidR="000B1CD8" w:rsidRDefault="00000000">
            <w:r>
              <w:t>Non-compliance rate</w:t>
            </w:r>
          </w:p>
        </w:tc>
      </w:tr>
      <w:tr w:rsidR="000B1CD8" w14:paraId="445EED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EDAFB" w14:textId="77777777" w:rsidR="000B1CD8" w:rsidRDefault="00000000">
            <w:r>
              <w:t>X-squared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38A74" w14:textId="77777777" w:rsidR="000B1CD8" w:rsidRDefault="00000000">
            <w:r>
              <w:t>80.772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519E" w14:textId="77777777" w:rsidR="000B1CD8" w:rsidRDefault="00000000">
            <w:r>
              <w:t>Test statistic</w:t>
            </w:r>
          </w:p>
        </w:tc>
      </w:tr>
      <w:tr w:rsidR="000B1CD8" w14:paraId="152F2A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E65FE" w14:textId="77777777" w:rsidR="000B1CD8" w:rsidRDefault="00000000">
            <w:r>
              <w:t>P-value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B780D" w14:textId="77777777" w:rsidR="000B1CD8" w:rsidRDefault="00000000">
            <w:r>
              <w:t>&lt; 2.2e-16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935BB" w14:textId="77777777" w:rsidR="000B1CD8" w:rsidRDefault="00000000">
            <w:r>
              <w:t>Far below α = 0.05</w:t>
            </w:r>
          </w:p>
        </w:tc>
      </w:tr>
      <w:tr w:rsidR="000B1CD8" w14:paraId="65EE75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A4C45" w14:textId="77777777" w:rsidR="000B1CD8" w:rsidRDefault="00000000">
            <w:r>
              <w:t>95% CI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E3AF" w14:textId="77777777" w:rsidR="000B1CD8" w:rsidRDefault="00000000">
            <w:r>
              <w:t>[0.1102, 1.000]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78AA4" w14:textId="77777777" w:rsidR="000B1CD8" w:rsidRDefault="00000000">
            <w:r>
              <w:t>Difference is at least 11%</w:t>
            </w:r>
          </w:p>
        </w:tc>
      </w:tr>
      <w:tr w:rsidR="000B1CD8" w14:paraId="23CBB9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9B9C7" w14:textId="77777777" w:rsidR="000B1CD8" w:rsidRDefault="00000000">
            <w:r>
              <w:t>Decision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8B047" w14:textId="77777777" w:rsidR="000B1CD8" w:rsidRDefault="00000000">
            <w:r>
              <w:t>Reject H₀</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F7B59" w14:textId="77777777" w:rsidR="000B1CD8" w:rsidRDefault="00000000">
            <w:r>
              <w:t>Result is statistically significant</w:t>
            </w:r>
          </w:p>
        </w:tc>
      </w:tr>
    </w:tbl>
    <w:p w14:paraId="59A5ED0F" w14:textId="77777777" w:rsidR="000B1CD8" w:rsidRDefault="00000000">
      <w:pPr>
        <w:spacing w:before="120" w:after="120"/>
        <w:ind w:firstLine="720"/>
      </w:pPr>
      <w:r>
        <w:t>The p-value is essentially zero, far below the 0.05 threshold. H₀ is rejected. Tattooing establishments have a statistically significantly higher non-compliance rate than Barbering and Hairdressing establishments. Tattoo shops fail inspections nearly twice as often as hair salons, with a difference of approximately 14 percentage points. This result reinforces the broader pattern observed across all five tests: skin-penetrating services consistently demonstrate worse compliance outcomes and warrant targeted regulatory attention from Toronto Public Health.</w:t>
      </w:r>
    </w:p>
    <w:p w14:paraId="4D8444DF" w14:textId="77777777" w:rsidR="000B1CD8" w:rsidRPr="006424E9" w:rsidRDefault="00000000">
      <w:pPr>
        <w:pStyle w:val="Heading1"/>
        <w:rPr>
          <w:color w:val="80340D" w:themeColor="accent2" w:themeShade="80"/>
        </w:rPr>
      </w:pPr>
      <w:r w:rsidRPr="006424E9">
        <w:rPr>
          <w:color w:val="80340D" w:themeColor="accent2" w:themeShade="80"/>
        </w:rPr>
        <w:t>4. Summary of Results</w:t>
      </w:r>
    </w:p>
    <w:p w14:paraId="6652F27B" w14:textId="77777777" w:rsidR="000B1CD8" w:rsidRDefault="00000000">
      <w:pPr>
        <w:spacing w:before="120" w:after="120"/>
        <w:ind w:firstLine="720"/>
      </w:pPr>
      <w:r>
        <w:t>Table 6 summarizes the results of all five hypothesis tests conducted in this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B1CD8" w14:paraId="445572D3" w14:textId="77777777" w:rsidTr="006424E9">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172D3FDD" w14:textId="77777777" w:rsidR="000B1CD8" w:rsidRDefault="00000000">
            <w:r>
              <w:rPr>
                <w:b/>
                <w:bCs/>
              </w:rPr>
              <w:t>Test</w:t>
            </w:r>
          </w:p>
        </w:tc>
        <w:tc>
          <w:tcPr>
            <w:tcW w:w="156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3DF7B955" w14:textId="77777777" w:rsidR="000B1CD8" w:rsidRDefault="00000000">
            <w:r>
              <w:rPr>
                <w:b/>
                <w:bCs/>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638DC69F" w14:textId="77777777" w:rsidR="000B1CD8" w:rsidRDefault="00000000">
            <w:r>
              <w:rPr>
                <w:b/>
                <w:bCs/>
              </w:rPr>
              <w:t>Hₐ</w:t>
            </w:r>
          </w:p>
        </w:tc>
        <w:tc>
          <w:tcPr>
            <w:tcW w:w="156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5109AC4F" w14:textId="77777777" w:rsidR="000B1CD8" w:rsidRDefault="00000000">
            <w:r>
              <w:rPr>
                <w:b/>
                <w:bCs/>
              </w:rPr>
              <w:t>P-value</w:t>
            </w:r>
          </w:p>
        </w:tc>
        <w:tc>
          <w:tcPr>
            <w:tcW w:w="156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7B2437C6" w14:textId="77777777" w:rsidR="000B1CD8" w:rsidRDefault="00000000">
            <w:r>
              <w:rPr>
                <w:b/>
                <w:bCs/>
              </w:rPr>
              <w:t>Decision</w:t>
            </w:r>
          </w:p>
        </w:tc>
        <w:tc>
          <w:tcPr>
            <w:tcW w:w="1560" w:type="dxa"/>
            <w:tcBorders>
              <w:top w:val="single" w:sz="1" w:space="0" w:color="CCCCCC"/>
              <w:left w:val="single" w:sz="1" w:space="0" w:color="CCCCCC"/>
              <w:bottom w:val="single" w:sz="1" w:space="0" w:color="CCCCCC"/>
              <w:right w:val="single" w:sz="1" w:space="0" w:color="CCCCCC"/>
            </w:tcBorders>
            <w:shd w:val="clear" w:color="auto" w:fill="E97132" w:themeFill="accent2"/>
            <w:tcMar>
              <w:top w:w="80" w:type="dxa"/>
              <w:left w:w="120" w:type="dxa"/>
              <w:bottom w:w="80" w:type="dxa"/>
              <w:right w:w="120" w:type="dxa"/>
            </w:tcMar>
          </w:tcPr>
          <w:p w14:paraId="377CA868" w14:textId="77777777" w:rsidR="000B1CD8" w:rsidRDefault="00000000">
            <w:r>
              <w:rPr>
                <w:b/>
                <w:bCs/>
              </w:rPr>
              <w:t>Significant?</w:t>
            </w:r>
          </w:p>
        </w:tc>
      </w:tr>
      <w:tr w:rsidR="000B1CD8" w14:paraId="5771D37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2E8B6" w14:textId="77777777" w:rsidR="000B1CD8" w:rsidRDefault="00000000">
            <w: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662B6" w14:textId="77777777" w:rsidR="000B1CD8" w:rsidRDefault="00000000">
            <w:r>
              <w:t>One-Sample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5BCBB" w14:textId="77777777" w:rsidR="000B1CD8" w:rsidRDefault="00000000">
            <w:r>
              <w:t>p ≠ 0.20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618E4" w14:textId="77777777" w:rsidR="000B1CD8" w:rsidRDefault="00000000">
            <w:r>
              <w:t>1.285e-09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5BD30" w14:textId="77777777" w:rsidR="000B1CD8" w:rsidRDefault="00000000">
            <w:r>
              <w:t>Reject H₀</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DCE3" w14:textId="77777777" w:rsidR="000B1CD8" w:rsidRDefault="00000000">
            <w:r>
              <w:t>Yes</w:t>
            </w:r>
          </w:p>
        </w:tc>
      </w:tr>
      <w:tr w:rsidR="000B1CD8" w14:paraId="0E2C40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9943B" w14:textId="77777777" w:rsidR="000B1CD8" w:rsidRDefault="00000000">
            <w: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870C8" w14:textId="77777777" w:rsidR="000B1CD8" w:rsidRDefault="00000000">
            <w:r>
              <w:t>Two-Sample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B57DC" w14:textId="77777777" w:rsidR="000B1CD8" w:rsidRDefault="00000000">
            <w:r>
              <w:t>p₁ &gt; p₂</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67D65" w14:textId="77777777" w:rsidR="000B1CD8" w:rsidRDefault="00000000">
            <w:r>
              <w:t>6.471e-14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69CD" w14:textId="77777777" w:rsidR="000B1CD8" w:rsidRDefault="00000000">
            <w:r>
              <w:t>Reject H₀</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8BCB6" w14:textId="77777777" w:rsidR="000B1CD8" w:rsidRDefault="00000000">
            <w:r>
              <w:t>Yes</w:t>
            </w:r>
          </w:p>
        </w:tc>
      </w:tr>
      <w:tr w:rsidR="000B1CD8" w14:paraId="15D50F0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052D0" w14:textId="77777777" w:rsidR="000B1CD8" w:rsidRDefault="00000000">
            <w: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5DEC3" w14:textId="77777777" w:rsidR="000B1CD8" w:rsidRDefault="00000000">
            <w:r>
              <w:t>Two-Sample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FB994" w14:textId="77777777" w:rsidR="000B1CD8" w:rsidRDefault="00000000">
            <w:r>
              <w:t>p₁ &gt; p₂</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F3B54" w14:textId="77777777" w:rsidR="000B1CD8" w:rsidRDefault="00000000">
            <w:r>
              <w:t>0.183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3FA2D" w14:textId="77777777" w:rsidR="000B1CD8" w:rsidRDefault="00000000">
            <w:r>
              <w:t>Fail to Reject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18982" w14:textId="77777777" w:rsidR="000B1CD8" w:rsidRDefault="00000000">
            <w:r>
              <w:t>No</w:t>
            </w:r>
          </w:p>
        </w:tc>
      </w:tr>
      <w:tr w:rsidR="000B1CD8" w14:paraId="0EF6441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F42DC" w14:textId="77777777" w:rsidR="000B1CD8" w:rsidRDefault="00000000">
            <w:r>
              <w:lastRenderedPageBreak/>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4C34B" w14:textId="77777777" w:rsidR="000B1CD8" w:rsidRDefault="00000000">
            <w:r>
              <w:t>One-Sample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4F821" w14:textId="77777777" w:rsidR="000B1CD8" w:rsidRDefault="00000000">
            <w:r>
              <w:t>p ≠ 0.80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FC256" w14:textId="77777777" w:rsidR="000B1CD8" w:rsidRDefault="00000000">
            <w:r>
              <w:t>1.301e-05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F2780" w14:textId="77777777" w:rsidR="000B1CD8" w:rsidRDefault="00000000">
            <w:r>
              <w:t>Reject H₀</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B0D33" w14:textId="77777777" w:rsidR="000B1CD8" w:rsidRDefault="00000000">
            <w:r>
              <w:t>Yes</w:t>
            </w:r>
          </w:p>
        </w:tc>
      </w:tr>
      <w:tr w:rsidR="000B1CD8" w14:paraId="24A18F0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8CD6" w14:textId="77777777" w:rsidR="000B1CD8" w:rsidRDefault="00000000">
            <w: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ABD18" w14:textId="77777777" w:rsidR="000B1CD8" w:rsidRDefault="00000000">
            <w:r>
              <w:t>Two-Sample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502E8" w14:textId="77777777" w:rsidR="000B1CD8" w:rsidRDefault="00000000">
            <w:r>
              <w:t>p₁ &gt; p₂</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D592C" w14:textId="77777777" w:rsidR="000B1CD8" w:rsidRDefault="00000000">
            <w:r>
              <w:t>&lt; 2.2e-16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2AD20" w14:textId="77777777" w:rsidR="000B1CD8" w:rsidRDefault="00000000">
            <w:r>
              <w:t>Reject H₀</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86AB0" w14:textId="77777777" w:rsidR="000B1CD8" w:rsidRDefault="00000000">
            <w:r>
              <w:t>Yes</w:t>
            </w:r>
          </w:p>
        </w:tc>
      </w:tr>
    </w:tbl>
    <w:p w14:paraId="64F9802C" w14:textId="77777777" w:rsidR="000B1CD8" w:rsidRPr="006424E9" w:rsidRDefault="00000000">
      <w:pPr>
        <w:pStyle w:val="Heading1"/>
        <w:rPr>
          <w:color w:val="80340D" w:themeColor="accent2" w:themeShade="80"/>
        </w:rPr>
      </w:pPr>
      <w:r w:rsidRPr="006424E9">
        <w:rPr>
          <w:color w:val="80340D" w:themeColor="accent2" w:themeShade="80"/>
        </w:rPr>
        <w:t>5. Conclusion</w:t>
      </w:r>
    </w:p>
    <w:p w14:paraId="52B6F665" w14:textId="77777777" w:rsidR="000B1CD8" w:rsidRDefault="00000000">
      <w:pPr>
        <w:spacing w:before="120" w:after="120"/>
        <w:ind w:firstLine="720"/>
      </w:pPr>
      <w:r>
        <w:t xml:space="preserve">This analysis applied inferential statistics to five questions derived from the Toronto </w:t>
      </w:r>
      <w:proofErr w:type="spellStart"/>
      <w:r>
        <w:t>BodySafe</w:t>
      </w:r>
      <w:proofErr w:type="spellEnd"/>
      <w:r>
        <w:t xml:space="preserve"> Public Health Inspection dataset. Four of the five hypothesis tests produced statistically significant results, confirming that the patterns observed in the Milestone 1 exploratory data analysis reflect genuine population-level phenomena rather than random variation in the sample data.</w:t>
      </w:r>
    </w:p>
    <w:p w14:paraId="5017556F" w14:textId="77777777" w:rsidR="000B1CD8" w:rsidRDefault="00000000">
      <w:pPr>
        <w:spacing w:before="120" w:after="120"/>
        <w:ind w:firstLine="720"/>
      </w:pPr>
      <w:r>
        <w:t>The most important findings are that Toronto personal service establishments have a true non-compliance rate significantly above 20%, that high-risk skin-penetrating services fail inspections at a meaningfully higher rate than lower-risk services, and that when violations are found anywhere in the sector, they are overwhelmingly of the most dangerous Crucial classification. Tattooing establishments in particular were found to fail inspections nearly twice as often as hair salons, reinforcing the case for increased regulatory scrutiny of skin-penetrating services.</w:t>
      </w:r>
    </w:p>
    <w:p w14:paraId="2A356DE0" w14:textId="77777777" w:rsidR="000B1CD8" w:rsidRDefault="00000000">
      <w:pPr>
        <w:spacing w:before="120" w:after="120"/>
        <w:ind w:firstLine="720"/>
      </w:pPr>
      <w:r>
        <w:t>The one non-significant result, comparing the proportion of Crucial infractions between Body Piercing and Nails, revealed that both service types have extremely high Crucial infraction rates above 93%, making them statistically indistinguishable in terms of violation severity. This is itself a meaningful public health finding.</w:t>
      </w:r>
    </w:p>
    <w:p w14:paraId="5EC4E917" w14:textId="77777777" w:rsidR="000B1CD8" w:rsidRDefault="00000000">
      <w:pPr>
        <w:spacing w:before="120" w:after="120"/>
        <w:ind w:firstLine="720"/>
      </w:pPr>
      <w:r>
        <w:t>Together, these results support a data-driven recommendation that Toronto Public Health prioritize inspection frequency and enforcement resources toward skin-penetrating personal service establishments, where the risk of infection transmission is highest and compliance outcomes are consistently worse.</w:t>
      </w:r>
    </w:p>
    <w:p w14:paraId="432EF278" w14:textId="77777777" w:rsidR="000B1CD8" w:rsidRPr="006424E9" w:rsidRDefault="00000000">
      <w:pPr>
        <w:pStyle w:val="Heading1"/>
        <w:rPr>
          <w:color w:val="80340D" w:themeColor="accent2" w:themeShade="80"/>
        </w:rPr>
      </w:pPr>
      <w:r w:rsidRPr="006424E9">
        <w:rPr>
          <w:color w:val="80340D" w:themeColor="accent2" w:themeShade="80"/>
        </w:rPr>
        <w:t>References</w:t>
      </w:r>
    </w:p>
    <w:p w14:paraId="7B18BAA2" w14:textId="77777777" w:rsidR="000B1CD8" w:rsidRDefault="00000000">
      <w:pPr>
        <w:spacing w:before="120" w:after="120"/>
        <w:ind w:left="720" w:hanging="720"/>
      </w:pPr>
      <w:r>
        <w:t xml:space="preserve">City of Toronto. (2024). </w:t>
      </w:r>
      <w:proofErr w:type="spellStart"/>
      <w:r>
        <w:t>BodySafe</w:t>
      </w:r>
      <w:proofErr w:type="spellEnd"/>
      <w:r>
        <w:t>: Personal service settings inspection results [Data set]. Toronto Open Data Portal. https://open.toronto.ca/dataset/bodysafe/</w:t>
      </w:r>
    </w:p>
    <w:p w14:paraId="7EBCDF45" w14:textId="77777777" w:rsidR="000B1CD8" w:rsidRDefault="00000000">
      <w:pPr>
        <w:spacing w:before="120" w:after="120"/>
        <w:ind w:left="720" w:hanging="720"/>
      </w:pPr>
      <w:r>
        <w:t>Lehman, S. S., Graczyk, T. K., &amp; Sheridan, J. F. (2010). Bloodborne pathogen risk reduction activities in the body piercing and tattooing industry. American Journal of Infection Control, 38(2), 130–138. https://doi.org/10.1016/j.ajic.2009.06.006</w:t>
      </w:r>
    </w:p>
    <w:p w14:paraId="2ECE552D" w14:textId="77777777" w:rsidR="000B1CD8" w:rsidRDefault="00000000">
      <w:pPr>
        <w:spacing w:before="120" w:after="120"/>
        <w:ind w:left="720" w:hanging="720"/>
      </w:pPr>
      <w:r>
        <w:t>Ontario Ministry of Health. (2018). Personal service settings guideline 2018: Ontario Regulation 136/18 under the Health Protection and Promotion Act. Queen's Printer for Ontario. https://files.ontario.ca/moh-guidelines-personal-service-settings-guideline-en-2019.pdf</w:t>
      </w:r>
    </w:p>
    <w:sectPr w:rsidR="000B1C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4221D" w14:textId="77777777" w:rsidR="004F3EF4" w:rsidRDefault="004F3EF4">
      <w:r>
        <w:separator/>
      </w:r>
    </w:p>
  </w:endnote>
  <w:endnote w:type="continuationSeparator" w:id="0">
    <w:p w14:paraId="4F210C77" w14:textId="77777777" w:rsidR="004F3EF4" w:rsidRDefault="004F3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E739" w14:textId="77777777" w:rsidR="000B1CD8" w:rsidRDefault="00000000">
    <w:pPr>
      <w:jc w:val="right"/>
    </w:pPr>
    <w:r>
      <w:fldChar w:fldCharType="begin"/>
    </w:r>
    <w:r>
      <w:instrText>PAGE</w:instrText>
    </w:r>
    <w:r>
      <w:fldChar w:fldCharType="separate"/>
    </w:r>
    <w:r w:rsidR="006424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502DE" w14:textId="77777777" w:rsidR="004F3EF4" w:rsidRDefault="004F3EF4">
      <w:r>
        <w:separator/>
      </w:r>
    </w:p>
  </w:footnote>
  <w:footnote w:type="continuationSeparator" w:id="0">
    <w:p w14:paraId="73E99847" w14:textId="77777777" w:rsidR="004F3EF4" w:rsidRDefault="004F3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432A" w14:textId="7C14E5C9" w:rsidR="006424E9" w:rsidRDefault="006424E9">
    <w:pPr>
      <w:pStyle w:val="Header"/>
    </w:pPr>
    <w:r>
      <w:rPr>
        <w:noProof/>
      </w:rPr>
      <w:drawing>
        <wp:inline distT="0" distB="0" distL="0" distR="0" wp14:anchorId="48C04A4D" wp14:editId="21EE3DDC">
          <wp:extent cx="1151467" cy="647700"/>
          <wp:effectExtent l="0" t="0" r="0" b="0"/>
          <wp:docPr id="9561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3502" name="Picture 956103502"/>
                  <pic:cNvPicPr/>
                </pic:nvPicPr>
                <pic:blipFill>
                  <a:blip r:embed="rId1">
                    <a:extLst>
                      <a:ext uri="{28A0092B-C50C-407E-A947-70E740481C1C}">
                        <a14:useLocalDpi xmlns:a14="http://schemas.microsoft.com/office/drawing/2010/main" val="0"/>
                      </a:ext>
                    </a:extLst>
                  </a:blip>
                  <a:stretch>
                    <a:fillRect/>
                  </a:stretch>
                </pic:blipFill>
                <pic:spPr>
                  <a:xfrm>
                    <a:off x="0" y="0"/>
                    <a:ext cx="1155229" cy="6498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26B76"/>
    <w:multiLevelType w:val="hybridMultilevel"/>
    <w:tmpl w:val="DCA09F0A"/>
    <w:lvl w:ilvl="0" w:tplc="E1565854">
      <w:start w:val="1"/>
      <w:numFmt w:val="bullet"/>
      <w:lvlText w:val="●"/>
      <w:lvlJc w:val="left"/>
      <w:pPr>
        <w:ind w:left="720" w:hanging="360"/>
      </w:pPr>
    </w:lvl>
    <w:lvl w:ilvl="1" w:tplc="2B38785E">
      <w:start w:val="1"/>
      <w:numFmt w:val="bullet"/>
      <w:lvlText w:val="○"/>
      <w:lvlJc w:val="left"/>
      <w:pPr>
        <w:ind w:left="1440" w:hanging="360"/>
      </w:pPr>
    </w:lvl>
    <w:lvl w:ilvl="2" w:tplc="4060FF44">
      <w:start w:val="1"/>
      <w:numFmt w:val="bullet"/>
      <w:lvlText w:val="■"/>
      <w:lvlJc w:val="left"/>
      <w:pPr>
        <w:ind w:left="2160" w:hanging="360"/>
      </w:pPr>
    </w:lvl>
    <w:lvl w:ilvl="3" w:tplc="5B7C0424">
      <w:start w:val="1"/>
      <w:numFmt w:val="bullet"/>
      <w:lvlText w:val="●"/>
      <w:lvlJc w:val="left"/>
      <w:pPr>
        <w:ind w:left="2880" w:hanging="360"/>
      </w:pPr>
    </w:lvl>
    <w:lvl w:ilvl="4" w:tplc="2CE80734">
      <w:start w:val="1"/>
      <w:numFmt w:val="bullet"/>
      <w:lvlText w:val="○"/>
      <w:lvlJc w:val="left"/>
      <w:pPr>
        <w:ind w:left="3600" w:hanging="360"/>
      </w:pPr>
    </w:lvl>
    <w:lvl w:ilvl="5" w:tplc="D4A8C708">
      <w:start w:val="1"/>
      <w:numFmt w:val="bullet"/>
      <w:lvlText w:val="■"/>
      <w:lvlJc w:val="left"/>
      <w:pPr>
        <w:ind w:left="4320" w:hanging="360"/>
      </w:pPr>
    </w:lvl>
    <w:lvl w:ilvl="6" w:tplc="25046ED2">
      <w:start w:val="1"/>
      <w:numFmt w:val="bullet"/>
      <w:lvlText w:val="●"/>
      <w:lvlJc w:val="left"/>
      <w:pPr>
        <w:ind w:left="5040" w:hanging="360"/>
      </w:pPr>
    </w:lvl>
    <w:lvl w:ilvl="7" w:tplc="081A48A0">
      <w:start w:val="1"/>
      <w:numFmt w:val="bullet"/>
      <w:lvlText w:val="●"/>
      <w:lvlJc w:val="left"/>
      <w:pPr>
        <w:ind w:left="5760" w:hanging="360"/>
      </w:pPr>
    </w:lvl>
    <w:lvl w:ilvl="8" w:tplc="B2CCBB12">
      <w:start w:val="1"/>
      <w:numFmt w:val="bullet"/>
      <w:lvlText w:val="●"/>
      <w:lvlJc w:val="left"/>
      <w:pPr>
        <w:ind w:left="6480" w:hanging="360"/>
      </w:pPr>
    </w:lvl>
  </w:abstractNum>
  <w:num w:numId="1" w16cid:durableId="842280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D8"/>
    <w:rsid w:val="000B1CD8"/>
    <w:rsid w:val="004F3EF4"/>
    <w:rsid w:val="006424E9"/>
    <w:rsid w:val="00E44E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776F9"/>
  <w15:docId w15:val="{5191E884-B023-4D25-AF45-CBD68B038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24E9"/>
    <w:pPr>
      <w:tabs>
        <w:tab w:val="center" w:pos="4680"/>
        <w:tab w:val="right" w:pos="9360"/>
      </w:tabs>
    </w:pPr>
  </w:style>
  <w:style w:type="character" w:customStyle="1" w:styleId="HeaderChar">
    <w:name w:val="Header Char"/>
    <w:basedOn w:val="DefaultParagraphFont"/>
    <w:link w:val="Header"/>
    <w:uiPriority w:val="99"/>
    <w:rsid w:val="006424E9"/>
  </w:style>
  <w:style w:type="paragraph" w:styleId="Footer">
    <w:name w:val="footer"/>
    <w:basedOn w:val="Normal"/>
    <w:link w:val="FooterChar"/>
    <w:uiPriority w:val="99"/>
    <w:unhideWhenUsed/>
    <w:rsid w:val="006424E9"/>
    <w:pPr>
      <w:tabs>
        <w:tab w:val="center" w:pos="4680"/>
        <w:tab w:val="right" w:pos="9360"/>
      </w:tabs>
    </w:pPr>
  </w:style>
  <w:style w:type="character" w:customStyle="1" w:styleId="FooterChar">
    <w:name w:val="Footer Char"/>
    <w:basedOn w:val="DefaultParagraphFont"/>
    <w:link w:val="Footer"/>
    <w:uiPriority w:val="99"/>
    <w:rsid w:val="00642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1903</Words>
  <Characters>10848</Characters>
  <Application>Microsoft Office Word</Application>
  <DocSecurity>0</DocSecurity>
  <Lines>90</Lines>
  <Paragraphs>25</Paragraphs>
  <ScaleCrop>false</ScaleCrop>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Fatemeh Shahabdehkordi</cp:lastModifiedBy>
  <cp:revision>2</cp:revision>
  <dcterms:created xsi:type="dcterms:W3CDTF">2026-05-03T21:13:00Z</dcterms:created>
  <dcterms:modified xsi:type="dcterms:W3CDTF">2026-05-03T21:20:00Z</dcterms:modified>
</cp:coreProperties>
</file>