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BANK STATEMENTS &amp; FINANCIAL RECORDS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Bank statements must cover 6 consecutive months (or 12 if savings are key evidence). Both sponsor and applicant must provide statements showing: salary deposits, living expenses, and any savings balance.</w:t>
      </w:r>
    </w:p>
    <w:p>
      <w:pPr>
        <w:spacing w:after="200"/>
        <w:ind w:left="500"/>
      </w:pPr>
      <w:r>
        <w:t xml:space="preserve">💡 Officers verify: deposits match claimed income, expenses are reasonable for household size, balance is consistent with claimed savings.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Main account: 6 months of statements showing monthly salary of £2,917 (£35,000 annual), regular household expenses, final balance £5,000.
Savings account: 6 months showing balance increasing from £40,000 to £50,000 (no withdrawals).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Download 6 consecutive months of statements. Ensure they show continuous balance or deposits. Avoid large unexplained withdrawals.</w:t>
      </w:r>
    </w:p>
    <w:p>
      <w:pPr>
        <w:shd w:fill="F5F5F5"/>
        <w:spacing w:after="200" w:line="240"/>
        <w:ind w:left="400"/>
      </w:pPr>
      <w:r>
        <w:t xml:space="preserve">Account: [BANK NAME] [ACCOUNT TYPE]
Balance: £[AMOUNT]
Monthly deposits: £[SALARY AMOUNT]
Period: [START DATE] to [END DATE] (6 consecutive months)
Attached: All 6 monthly statements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Bank statements prove income is real and living expenses are reasonable. If deposits don't match claimed salary or balance drops unexpectedly, officers will investigate further.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2026-04-14T10:58:24.600Z</dcterms:created>
  <dcterms:modified xsi:type="dcterms:W3CDTF">2026-04-14T10:58:24.600Z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