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CHILDREN DOCUMENTATION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If you have children together or from previous relationships, provide: birth certificates, custody documents, school records, and declarations regarding each child's status.</w:t>
      </w:r>
    </w:p>
    <w:p>
      <w:pPr>
        <w:spacing w:after="200"/>
        <w:ind w:left="500"/>
      </w:pPr>
      <w:r>
        <w:t xml:space="preserve">💡 Officers verify: child's parentage, custody arrangements, and any financial commitments to the child.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Child: Emma Smith (DOB: 15 Aug 2022)
Birth Certificate: Shows John Smith and Sarah Johnson as parents. Registered: 20 Aug 2022.
School Registration: Registered at Primary School from Sep 2023.
Financial Evidence: Both parents contributing to childcare (daycare invoices, shared accounts).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Provide birth certificates, school enrollment letters, and proof of shared childcare costs.</w:t>
      </w:r>
    </w:p>
    <w:p>
      <w:pPr>
        <w:shd w:fill="F5F5F5"/>
        <w:spacing w:after="200" w:line="240"/>
        <w:ind w:left="400"/>
      </w:pPr>
      <w:r>
        <w:t xml:space="preserve">Child: [NAME] | DOB: [DATE]
Birth Certificate: [DATE REGISTERED] | Both parents listed
School: [SCHOOL NAME] | Registered [DATE]
Financial: [CHILDCARE/SUPPORT DETAILS]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Children are evidence of genuine relationship and family commitment. Courts recognize this as strong proof of cohabitation and intent to stay together.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2026-04-14T10:58:24.656Z</dcterms:created>
  <dcterms:modified xsi:type="dcterms:W3CDTF">2026-04-14T10:58:24.656Z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