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D5104" w14:textId="666F46A4" w:rsidR="00BF245C" w:rsidRPr="00BF245C" w:rsidRDefault="00CC164B" w:rsidP="00BF245C">
      <w:r>
        <w:rPr>
          <w:noProof/>
        </w:rPr>
        <w:drawing>
          <wp:anchor distT="0" distB="0" distL="114300" distR="114300" simplePos="0" relativeHeight="251658752" behindDoc="1" locked="0" layoutInCell="1" allowOverlap="1" wp14:anchorId="08C162CB" wp14:editId="00B1F430">
            <wp:simplePos x="0" y="0"/>
            <wp:positionH relativeFrom="column">
              <wp:posOffset>2583815</wp:posOffset>
            </wp:positionH>
            <wp:positionV relativeFrom="paragraph">
              <wp:posOffset>-117244</wp:posOffset>
            </wp:positionV>
            <wp:extent cx="422564" cy="422564"/>
            <wp:effectExtent l="0" t="0" r="0" b="0"/>
            <wp:wrapNone/>
            <wp:docPr id="4704259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25926" name="Picture 47042592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564" cy="4225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245C" w:rsidRPr="00BF245C">
        <w:rPr>
          <w:b/>
          <w:bCs/>
        </w:rPr>
        <w:t>Logo Design Note — Institute of Digital Risk</w:t>
      </w:r>
    </w:p>
    <w:p w14:paraId="0059DFD9" w14:textId="2FF937E6" w:rsidR="00BF245C" w:rsidRPr="00BF245C" w:rsidRDefault="00BF245C" w:rsidP="00BF245C">
      <w:r w:rsidRPr="00BF245C">
        <w:pict w14:anchorId="36B0D738">
          <v:rect id="_x0000_i1031" style="width:0;height:1.5pt" o:hralign="center" o:hrstd="t" o:hr="t" fillcolor="#a0a0a0" stroked="f"/>
        </w:pict>
      </w:r>
    </w:p>
    <w:p w14:paraId="12ED2FB2" w14:textId="74C20B01" w:rsidR="00BF245C" w:rsidRPr="00BF245C" w:rsidRDefault="00BF245C" w:rsidP="00BF245C">
      <w:r w:rsidRPr="00BF245C">
        <w:t>The cube icon was chosen as the central symbol to represent structure, resilience, and layered complexity — core concepts in digital and AI risk management. The orange, white, and black colour palette was selected deliberately: orange signals urgency and innovation, white conveys clarity and precision, and black grounds the mark with authority and professionalism. The clean geometric form with no decorative elements reflects a minimalist tech-education aesthetic, ensuring the logo reads clearly at any size — from browser favicon to large-format display. No additional typography was applied to the icon variant, keeping it versatile, while the full lockup uses a bold sans-serif wordmark with "Risk" highlighted in orange to anchor the brand's core identity.</w:t>
      </w:r>
    </w:p>
    <w:p w14:paraId="4A58CA6F" w14:textId="77777777" w:rsidR="003D3283" w:rsidRDefault="003D3283"/>
    <w:p w14:paraId="2C028E1B" w14:textId="7E8243C8" w:rsidR="00544534" w:rsidRDefault="00544534">
      <w:r>
        <w:rPr>
          <w:noProof/>
        </w:rPr>
        <w:drawing>
          <wp:inline distT="0" distB="0" distL="0" distR="0" wp14:anchorId="5442C6A7" wp14:editId="0D242372">
            <wp:extent cx="5731510" cy="3209925"/>
            <wp:effectExtent l="0" t="0" r="2540" b="9525"/>
            <wp:docPr id="18739813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81312" name="Picture 18739813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45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808"/>
    <w:rsid w:val="00113924"/>
    <w:rsid w:val="002D62D8"/>
    <w:rsid w:val="003D3283"/>
    <w:rsid w:val="003D5207"/>
    <w:rsid w:val="00544534"/>
    <w:rsid w:val="005A7808"/>
    <w:rsid w:val="00876121"/>
    <w:rsid w:val="00BF245C"/>
    <w:rsid w:val="00CC164B"/>
    <w:rsid w:val="00EF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974DB"/>
  <w15:chartTrackingRefBased/>
  <w15:docId w15:val="{E273FB84-F7A8-42BA-9BBD-0E28EA667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8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8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8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8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8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8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8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8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8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8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8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Avadhoot Gunjal</dc:creator>
  <cp:keywords/>
  <dc:description/>
  <cp:lastModifiedBy>Avadhoot Gunjal</cp:lastModifiedBy>
  <cp:revision>2</cp:revision>
  <dcterms:created xsi:type="dcterms:W3CDTF">2026-03-15T14:23:00Z</dcterms:created>
  <dcterms:modified xsi:type="dcterms:W3CDTF">2026-03-15T14:23:00Z</dcterms:modified>
</cp:coreProperties>
</file>