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8D3B8" w14:textId="77777777" w:rsidR="00BD713B" w:rsidRDefault="00BD713B" w:rsidP="00BD713B">
      <w:pPr>
        <w:spacing w:after="0" w:line="240" w:lineRule="auto"/>
        <w:contextualSpacing/>
        <w:jc w:val="center"/>
        <w:rPr>
          <w:rFonts w:ascii="Times New Roman" w:hAnsi="Times New Roman" w:cs="Times New Roman"/>
          <w:color w:val="202122"/>
          <w:spacing w:val="3"/>
          <w:shd w:val="clear" w:color="auto" w:fill="FFFFFF"/>
        </w:rPr>
      </w:pPr>
    </w:p>
    <w:p w14:paraId="7C8EF482" w14:textId="77777777" w:rsidR="00BD713B" w:rsidRDefault="00BD713B" w:rsidP="00BD713B">
      <w:pPr>
        <w:spacing w:after="0" w:line="240" w:lineRule="auto"/>
        <w:contextualSpacing/>
        <w:jc w:val="center"/>
        <w:rPr>
          <w:rFonts w:ascii="Times New Roman" w:hAnsi="Times New Roman" w:cs="Times New Roman"/>
          <w:color w:val="202122"/>
          <w:spacing w:val="3"/>
          <w:shd w:val="clear" w:color="auto" w:fill="FFFFFF"/>
        </w:rPr>
      </w:pPr>
    </w:p>
    <w:p w14:paraId="1EABB544" w14:textId="77777777" w:rsidR="00BD713B" w:rsidRDefault="00BD713B" w:rsidP="00BD713B">
      <w:pPr>
        <w:pStyle w:val="NoSpacing"/>
        <w:jc w:val="center"/>
        <w:rPr>
          <w:rFonts w:ascii="Times New Roman" w:hAnsi="Times New Roman" w:cs="Times New Roman"/>
          <w:shd w:val="clear" w:color="auto" w:fill="FFFFFF"/>
        </w:rPr>
      </w:pPr>
    </w:p>
    <w:p w14:paraId="3F4F491F" w14:textId="77777777" w:rsidR="00BD713B" w:rsidRDefault="00BD713B" w:rsidP="00BD713B">
      <w:pPr>
        <w:pStyle w:val="NoSpacing"/>
        <w:jc w:val="center"/>
        <w:rPr>
          <w:rFonts w:ascii="Times New Roman" w:hAnsi="Times New Roman" w:cs="Times New Roman"/>
          <w:shd w:val="clear" w:color="auto" w:fill="FFFFFF"/>
        </w:rPr>
      </w:pPr>
    </w:p>
    <w:p w14:paraId="3D90B4F2" w14:textId="77777777" w:rsidR="00BD713B" w:rsidRDefault="00BD713B" w:rsidP="00BD713B">
      <w:pPr>
        <w:pStyle w:val="NoSpacing"/>
        <w:jc w:val="center"/>
        <w:rPr>
          <w:rFonts w:ascii="Times New Roman" w:hAnsi="Times New Roman" w:cs="Times New Roman"/>
          <w:shd w:val="clear" w:color="auto" w:fill="FFFFFF"/>
        </w:rPr>
      </w:pPr>
    </w:p>
    <w:p w14:paraId="3EB0D0B3" w14:textId="77777777" w:rsidR="00BD713B" w:rsidRDefault="00BD713B" w:rsidP="00BD713B">
      <w:pPr>
        <w:pStyle w:val="NoSpacing"/>
        <w:jc w:val="center"/>
        <w:rPr>
          <w:rFonts w:ascii="Times New Roman" w:hAnsi="Times New Roman" w:cs="Times New Roman"/>
          <w:shd w:val="clear" w:color="auto" w:fill="FFFFFF"/>
        </w:rPr>
      </w:pPr>
    </w:p>
    <w:p w14:paraId="4C43FC2F" w14:textId="77777777" w:rsidR="00BD713B" w:rsidRDefault="00BD713B" w:rsidP="00BD713B">
      <w:pPr>
        <w:pStyle w:val="NoSpacing"/>
        <w:jc w:val="center"/>
        <w:rPr>
          <w:rFonts w:ascii="Times New Roman" w:hAnsi="Times New Roman" w:cs="Times New Roman"/>
          <w:shd w:val="clear" w:color="auto" w:fill="FFFFFF"/>
        </w:rPr>
      </w:pPr>
    </w:p>
    <w:p w14:paraId="7E663361" w14:textId="77777777" w:rsidR="00BD713B" w:rsidRDefault="00BD713B" w:rsidP="00BD713B">
      <w:pPr>
        <w:pStyle w:val="NoSpacing"/>
        <w:jc w:val="center"/>
        <w:rPr>
          <w:rFonts w:ascii="Times New Roman" w:hAnsi="Times New Roman" w:cs="Times New Roman"/>
          <w:shd w:val="clear" w:color="auto" w:fill="FFFFFF"/>
        </w:rPr>
      </w:pPr>
    </w:p>
    <w:p w14:paraId="494E1151" w14:textId="77777777" w:rsidR="00BD713B" w:rsidRDefault="00BD713B" w:rsidP="00BD713B">
      <w:pPr>
        <w:pStyle w:val="NoSpacing"/>
        <w:jc w:val="center"/>
        <w:rPr>
          <w:rFonts w:ascii="Times New Roman" w:hAnsi="Times New Roman" w:cs="Times New Roman"/>
          <w:shd w:val="clear" w:color="auto" w:fill="FFFFFF"/>
        </w:rPr>
      </w:pPr>
    </w:p>
    <w:p w14:paraId="0643FEE4" w14:textId="77777777" w:rsidR="00BD713B" w:rsidRDefault="00BD713B" w:rsidP="00BD713B">
      <w:pPr>
        <w:pStyle w:val="NoSpacing"/>
        <w:jc w:val="center"/>
        <w:rPr>
          <w:rFonts w:ascii="Times New Roman" w:hAnsi="Times New Roman" w:cs="Times New Roman"/>
          <w:shd w:val="clear" w:color="auto" w:fill="FFFFFF"/>
        </w:rPr>
      </w:pPr>
    </w:p>
    <w:p w14:paraId="1009F55D" w14:textId="77777777" w:rsidR="00BD713B" w:rsidRDefault="00BD713B" w:rsidP="00BD713B">
      <w:pPr>
        <w:pStyle w:val="NoSpacing"/>
        <w:jc w:val="center"/>
        <w:rPr>
          <w:rFonts w:ascii="Times New Roman" w:hAnsi="Times New Roman" w:cs="Times New Roman"/>
          <w:shd w:val="clear" w:color="auto" w:fill="FFFFFF"/>
        </w:rPr>
      </w:pPr>
    </w:p>
    <w:p w14:paraId="27435203" w14:textId="77777777" w:rsidR="00BD713B" w:rsidRDefault="00BD713B" w:rsidP="00BD713B">
      <w:pPr>
        <w:pStyle w:val="NoSpacing"/>
        <w:jc w:val="center"/>
        <w:rPr>
          <w:rFonts w:ascii="Times New Roman" w:hAnsi="Times New Roman" w:cs="Times New Roman"/>
          <w:shd w:val="clear" w:color="auto" w:fill="FFFFFF"/>
        </w:rPr>
      </w:pPr>
    </w:p>
    <w:p w14:paraId="185477F4" w14:textId="77777777" w:rsidR="00BD713B" w:rsidRDefault="00BD713B" w:rsidP="00BD713B">
      <w:pPr>
        <w:pStyle w:val="NoSpacing"/>
        <w:jc w:val="center"/>
        <w:rPr>
          <w:rFonts w:ascii="Times New Roman" w:hAnsi="Times New Roman" w:cs="Times New Roman"/>
          <w:shd w:val="clear" w:color="auto" w:fill="FFFFFF"/>
        </w:rPr>
      </w:pPr>
    </w:p>
    <w:p w14:paraId="0D29DD54" w14:textId="77777777" w:rsidR="00BD713B" w:rsidRDefault="00BD713B" w:rsidP="00BD713B">
      <w:pPr>
        <w:pStyle w:val="NoSpacing"/>
        <w:jc w:val="center"/>
        <w:rPr>
          <w:rFonts w:ascii="Times New Roman" w:hAnsi="Times New Roman" w:cs="Times New Roman"/>
          <w:shd w:val="clear" w:color="auto" w:fill="FFFFFF"/>
        </w:rPr>
      </w:pPr>
    </w:p>
    <w:p w14:paraId="5836C9CD" w14:textId="77777777" w:rsidR="00BD713B" w:rsidRDefault="00BD713B" w:rsidP="00BD713B">
      <w:pPr>
        <w:pStyle w:val="NoSpacing"/>
        <w:jc w:val="center"/>
        <w:rPr>
          <w:rFonts w:ascii="Times New Roman" w:hAnsi="Times New Roman" w:cs="Times New Roman"/>
          <w:shd w:val="clear" w:color="auto" w:fill="FFFFFF"/>
        </w:rPr>
      </w:pPr>
    </w:p>
    <w:p w14:paraId="219F4018" w14:textId="77777777" w:rsidR="00BD713B" w:rsidRDefault="00BD713B" w:rsidP="00BD713B">
      <w:pPr>
        <w:pStyle w:val="NoSpacing"/>
        <w:jc w:val="center"/>
        <w:rPr>
          <w:rFonts w:ascii="Times New Roman" w:hAnsi="Times New Roman" w:cs="Times New Roman"/>
          <w:shd w:val="clear" w:color="auto" w:fill="FFFFFF"/>
        </w:rPr>
      </w:pPr>
    </w:p>
    <w:p w14:paraId="15DB9175" w14:textId="77777777" w:rsidR="00BD713B" w:rsidRDefault="00BD713B" w:rsidP="00BD713B">
      <w:pPr>
        <w:pStyle w:val="NoSpacing"/>
        <w:jc w:val="center"/>
        <w:rPr>
          <w:rFonts w:ascii="Times New Roman" w:hAnsi="Times New Roman" w:cs="Times New Roman"/>
          <w:shd w:val="clear" w:color="auto" w:fill="FFFFFF"/>
        </w:rPr>
      </w:pPr>
    </w:p>
    <w:p w14:paraId="64D4B1AE" w14:textId="77777777" w:rsidR="00BD713B" w:rsidRDefault="00BD713B" w:rsidP="00BD713B">
      <w:pPr>
        <w:pStyle w:val="NoSpacing"/>
        <w:jc w:val="center"/>
        <w:rPr>
          <w:rFonts w:ascii="Times New Roman" w:hAnsi="Times New Roman" w:cs="Times New Roman"/>
          <w:shd w:val="clear" w:color="auto" w:fill="FFFFFF"/>
        </w:rPr>
      </w:pPr>
    </w:p>
    <w:p w14:paraId="0406689E" w14:textId="77777777" w:rsidR="00BD713B" w:rsidRDefault="00BD713B" w:rsidP="00BD713B">
      <w:pPr>
        <w:pStyle w:val="NoSpacing"/>
        <w:jc w:val="center"/>
        <w:rPr>
          <w:rFonts w:ascii="Times New Roman" w:hAnsi="Times New Roman" w:cs="Times New Roman"/>
          <w:shd w:val="clear" w:color="auto" w:fill="FFFFFF"/>
        </w:rPr>
      </w:pPr>
    </w:p>
    <w:p w14:paraId="593B6DA2" w14:textId="77777777" w:rsidR="00BD713B" w:rsidRDefault="00BD713B" w:rsidP="00BD713B">
      <w:pPr>
        <w:pStyle w:val="NoSpacing"/>
        <w:jc w:val="center"/>
        <w:rPr>
          <w:rFonts w:ascii="Times New Roman" w:hAnsi="Times New Roman" w:cs="Times New Roman"/>
          <w:shd w:val="clear" w:color="auto" w:fill="FFFFFF"/>
        </w:rPr>
      </w:pPr>
    </w:p>
    <w:p w14:paraId="1347280C" w14:textId="321C5405" w:rsidR="00BD713B" w:rsidRPr="00A63A75" w:rsidRDefault="00BD713B" w:rsidP="00BD713B">
      <w:pPr>
        <w:pStyle w:val="NoSpacing"/>
        <w:jc w:val="center"/>
        <w:rPr>
          <w:rFonts w:ascii="Times New Roman" w:hAnsi="Times New Roman" w:cs="Times New Roman"/>
          <w:shd w:val="clear" w:color="auto" w:fill="FFFFFF"/>
        </w:rPr>
      </w:pPr>
      <w:r w:rsidRPr="00A63A75">
        <w:rPr>
          <w:rFonts w:ascii="Times New Roman" w:hAnsi="Times New Roman" w:cs="Times New Roman"/>
          <w:shd w:val="clear" w:color="auto" w:fill="FFFFFF"/>
        </w:rPr>
        <w:t>Executive Summary and Plan</w:t>
      </w:r>
    </w:p>
    <w:p w14:paraId="2E9351A4" w14:textId="454FEED9" w:rsidR="00BD713B" w:rsidRDefault="00BD713B" w:rsidP="00BD713B">
      <w:pPr>
        <w:jc w:val="center"/>
        <w:rPr>
          <w:rFonts w:ascii="Times New Roman" w:hAnsi="Times New Roman" w:cs="Times New Roman"/>
        </w:rPr>
      </w:pPr>
    </w:p>
    <w:p w14:paraId="624254CE" w14:textId="77777777" w:rsidR="00BE3068" w:rsidRDefault="00BE3068" w:rsidP="00BD713B">
      <w:pPr>
        <w:jc w:val="center"/>
        <w:rPr>
          <w:rFonts w:ascii="Times New Roman" w:hAnsi="Times New Roman" w:cs="Times New Roman"/>
        </w:rPr>
      </w:pPr>
    </w:p>
    <w:p w14:paraId="46C30D38" w14:textId="77777777" w:rsidR="00BE3068" w:rsidRDefault="00BE3068" w:rsidP="00BD713B">
      <w:pPr>
        <w:jc w:val="center"/>
        <w:rPr>
          <w:rFonts w:ascii="Times New Roman" w:hAnsi="Times New Roman" w:cs="Times New Roman"/>
        </w:rPr>
      </w:pPr>
    </w:p>
    <w:p w14:paraId="5C251317" w14:textId="77777777" w:rsidR="00BE3068" w:rsidRDefault="00BE3068" w:rsidP="00BD713B">
      <w:pPr>
        <w:jc w:val="center"/>
        <w:rPr>
          <w:rFonts w:ascii="Times New Roman" w:hAnsi="Times New Roman" w:cs="Times New Roman"/>
        </w:rPr>
      </w:pPr>
    </w:p>
    <w:p w14:paraId="411D0ED1" w14:textId="77777777" w:rsidR="00BE3068" w:rsidRDefault="00BE3068" w:rsidP="00BD713B">
      <w:pPr>
        <w:jc w:val="center"/>
        <w:rPr>
          <w:rFonts w:ascii="Times New Roman" w:hAnsi="Times New Roman" w:cs="Times New Roman"/>
        </w:rPr>
      </w:pPr>
    </w:p>
    <w:p w14:paraId="0FA0B827" w14:textId="77777777" w:rsidR="00BE3068" w:rsidRDefault="00BE3068" w:rsidP="00BD713B">
      <w:pPr>
        <w:jc w:val="center"/>
        <w:rPr>
          <w:rFonts w:ascii="Times New Roman" w:hAnsi="Times New Roman" w:cs="Times New Roman"/>
        </w:rPr>
      </w:pPr>
    </w:p>
    <w:p w14:paraId="6636467E" w14:textId="77777777" w:rsidR="00BE3068" w:rsidRDefault="00BE3068" w:rsidP="00BD713B">
      <w:pPr>
        <w:jc w:val="center"/>
        <w:rPr>
          <w:rFonts w:ascii="Times New Roman" w:hAnsi="Times New Roman" w:cs="Times New Roman"/>
        </w:rPr>
      </w:pPr>
    </w:p>
    <w:p w14:paraId="38EEAFBE" w14:textId="77777777" w:rsidR="00BE3068" w:rsidRDefault="00BE3068" w:rsidP="00BD713B">
      <w:pPr>
        <w:jc w:val="center"/>
        <w:rPr>
          <w:rFonts w:ascii="Times New Roman" w:hAnsi="Times New Roman" w:cs="Times New Roman"/>
        </w:rPr>
      </w:pPr>
    </w:p>
    <w:p w14:paraId="13708992" w14:textId="77777777" w:rsidR="00BE3068" w:rsidRDefault="00BE3068" w:rsidP="00BD713B">
      <w:pPr>
        <w:jc w:val="center"/>
        <w:rPr>
          <w:rFonts w:ascii="Times New Roman" w:hAnsi="Times New Roman" w:cs="Times New Roman"/>
        </w:rPr>
      </w:pPr>
    </w:p>
    <w:p w14:paraId="268B0140" w14:textId="77777777" w:rsidR="00BE3068" w:rsidRDefault="00BE3068" w:rsidP="00BD713B">
      <w:pPr>
        <w:jc w:val="center"/>
        <w:rPr>
          <w:rFonts w:ascii="Times New Roman" w:hAnsi="Times New Roman" w:cs="Times New Roman"/>
        </w:rPr>
      </w:pPr>
    </w:p>
    <w:p w14:paraId="60A737DE" w14:textId="77777777" w:rsidR="004F7CE7" w:rsidRDefault="004F7CE7" w:rsidP="00BE3068">
      <w:pPr>
        <w:rPr>
          <w:rFonts w:ascii="Times New Roman" w:hAnsi="Times New Roman" w:cs="Times New Roman"/>
          <w:b/>
          <w:bCs/>
        </w:rPr>
      </w:pPr>
    </w:p>
    <w:p w14:paraId="359DE689" w14:textId="77777777" w:rsidR="004F7CE7" w:rsidRDefault="004F7CE7" w:rsidP="00BE3068">
      <w:pPr>
        <w:rPr>
          <w:rFonts w:ascii="Times New Roman" w:hAnsi="Times New Roman" w:cs="Times New Roman"/>
          <w:b/>
          <w:bCs/>
        </w:rPr>
      </w:pPr>
    </w:p>
    <w:p w14:paraId="31101E3B" w14:textId="77777777" w:rsidR="004F7CE7" w:rsidRDefault="004F7CE7" w:rsidP="00BE3068">
      <w:pPr>
        <w:rPr>
          <w:rFonts w:ascii="Times New Roman" w:hAnsi="Times New Roman" w:cs="Times New Roman"/>
          <w:b/>
          <w:bCs/>
        </w:rPr>
      </w:pPr>
    </w:p>
    <w:p w14:paraId="788204CC" w14:textId="77777777" w:rsidR="004F7CE7" w:rsidRDefault="004F7CE7" w:rsidP="00BE3068">
      <w:pPr>
        <w:rPr>
          <w:rFonts w:ascii="Times New Roman" w:hAnsi="Times New Roman" w:cs="Times New Roman"/>
          <w:b/>
          <w:bCs/>
        </w:rPr>
      </w:pPr>
    </w:p>
    <w:p w14:paraId="063DB86F" w14:textId="77777777" w:rsidR="004F7CE7" w:rsidRDefault="004F7CE7" w:rsidP="00BE3068">
      <w:pPr>
        <w:rPr>
          <w:rFonts w:ascii="Times New Roman" w:hAnsi="Times New Roman" w:cs="Times New Roman"/>
          <w:b/>
          <w:bCs/>
        </w:rPr>
      </w:pPr>
    </w:p>
    <w:p w14:paraId="6B225A53" w14:textId="2EFEF65A" w:rsidR="00BE3068" w:rsidRDefault="00BE3068" w:rsidP="00BE3068">
      <w:pPr>
        <w:rPr>
          <w:rFonts w:ascii="Times New Roman" w:hAnsi="Times New Roman" w:cs="Times New Roman"/>
          <w:b/>
          <w:bCs/>
        </w:rPr>
      </w:pPr>
      <w:r w:rsidRPr="00A63A75">
        <w:rPr>
          <w:rFonts w:ascii="Times New Roman" w:hAnsi="Times New Roman" w:cs="Times New Roman"/>
          <w:b/>
          <w:bCs/>
        </w:rPr>
        <w:lastRenderedPageBreak/>
        <w:t>Executive Summary</w:t>
      </w:r>
    </w:p>
    <w:p w14:paraId="1FF021AF" w14:textId="2DBFC57C" w:rsidR="00BE3068" w:rsidRDefault="00BE3068" w:rsidP="00BE3068">
      <w:pPr>
        <w:spacing w:line="480" w:lineRule="auto"/>
        <w:rPr>
          <w:rFonts w:ascii="Times New Roman" w:hAnsi="Times New Roman" w:cs="Times New Roman"/>
        </w:rPr>
      </w:pPr>
      <w:r>
        <w:rPr>
          <w:rFonts w:ascii="Times New Roman" w:hAnsi="Times New Roman" w:cs="Times New Roman"/>
        </w:rPr>
        <w:tab/>
        <w:t>Early 2025, Finger Lakes Community Bank was targeted by a politically motivated hacktivist group known as the Peoples Brigade for Web Justice. The attackers executed a multi-phase attack that involved website defacement, DDoS attempt and a phishing attack that deployed a RAT via email that was opened by internal staff. The breach led to an attempted unauthorized funds transfer by using a spoofed executive email. This executive summary outlines a comprehensive incident response and mitigation strategy for the company to address what happened and how to mitigate future attacks. This plan also includes specific counter measure such as role-based responsibilities’, legal, and regulatory considerations as well as operational practices that align with industry best practices and the NIST Incident Response Framework</w:t>
      </w:r>
      <w:r w:rsidR="007361CA">
        <w:rPr>
          <w:rFonts w:ascii="Times New Roman" w:hAnsi="Times New Roman" w:cs="Times New Roman"/>
        </w:rPr>
        <w:t xml:space="preserve"> </w:t>
      </w:r>
      <w:proofErr w:type="gramStart"/>
      <w:r w:rsidR="007361CA">
        <w:rPr>
          <w:rFonts w:ascii="Times New Roman" w:hAnsi="Times New Roman" w:cs="Times New Roman"/>
        </w:rPr>
        <w:t>( Valdez</w:t>
      </w:r>
      <w:proofErr w:type="gramEnd"/>
      <w:r w:rsidR="007361CA">
        <w:rPr>
          <w:rFonts w:ascii="Times New Roman" w:hAnsi="Times New Roman" w:cs="Times New Roman"/>
        </w:rPr>
        <w:t>, 2025).</w:t>
      </w:r>
    </w:p>
    <w:p w14:paraId="5A48F00B" w14:textId="412498A6" w:rsidR="00BE3068" w:rsidRDefault="00BE3068" w:rsidP="00BE3068">
      <w:pPr>
        <w:spacing w:line="480" w:lineRule="auto"/>
        <w:ind w:firstLine="720"/>
        <w:rPr>
          <w:rFonts w:ascii="Times New Roman" w:hAnsi="Times New Roman" w:cs="Times New Roman"/>
        </w:rPr>
      </w:pPr>
      <w:r>
        <w:rPr>
          <w:rFonts w:ascii="Times New Roman" w:hAnsi="Times New Roman" w:cs="Times New Roman"/>
        </w:rPr>
        <w:t xml:space="preserve">To further reduce operational risks, the banks should ensure that all incident response steps are documented in accordance with audit and regulatory requirements. The CFO and legal team will play key roles in verifying transfer polices and communication protocols. The IT security team will ensure that system modifications during incident containment are subject to change management oversight. These steps provide both accountability and defensibility using post incident reviews. To ensure coordination, and effective responses in the future, the bank adopted a structure Incident Response Process aligned with NIST guidelines. This process outlines key stages, including detection, containment, eradication, recovery and post incident review. The visual incident response diagram included below offers a clear breakdown of how incidents will be handled from initial identification through recovery and organization learning. It serves as a roadmap for staff across departments to understand their responsibilities in the </w:t>
      </w:r>
      <w:r>
        <w:rPr>
          <w:rFonts w:ascii="Times New Roman" w:hAnsi="Times New Roman" w:cs="Times New Roman"/>
        </w:rPr>
        <w:lastRenderedPageBreak/>
        <w:t xml:space="preserve">event of an attack ensuring that the response efforts are compliant with regulatory standards (Brook, 2024). </w:t>
      </w:r>
    </w:p>
    <w:p w14:paraId="50677CE7" w14:textId="77777777" w:rsidR="00BE3068" w:rsidRPr="005F00EE" w:rsidRDefault="00BE3068" w:rsidP="00BE3068">
      <w:pPr>
        <w:spacing w:after="0" w:line="240" w:lineRule="auto"/>
        <w:contextualSpacing/>
        <w:rPr>
          <w:rFonts w:ascii="Times New Roman" w:eastAsia="Calibri" w:hAnsi="Times New Roman" w:cs="Times New Roman"/>
          <w:b/>
          <w:bCs/>
          <w:lang w:val="en"/>
        </w:rPr>
      </w:pPr>
      <w:r w:rsidRPr="005F00EE">
        <w:rPr>
          <w:rFonts w:ascii="Times New Roman" w:eastAsia="Calibri" w:hAnsi="Times New Roman" w:cs="Times New Roman"/>
          <w:b/>
          <w:bCs/>
          <w:lang w:val="en"/>
        </w:rPr>
        <w:t>Table 1</w:t>
      </w:r>
    </w:p>
    <w:p w14:paraId="2D2F7D9D" w14:textId="77777777" w:rsidR="00BE3068" w:rsidRPr="007D38E2" w:rsidRDefault="00BE3068" w:rsidP="00BE3068">
      <w:pPr>
        <w:pStyle w:val="Heading2"/>
        <w:rPr>
          <w:rFonts w:ascii="Times New Roman" w:hAnsi="Times New Roman" w:cs="Times New Roman"/>
          <w:b/>
          <w:bCs/>
          <w:i/>
          <w:iCs/>
          <w:sz w:val="24"/>
          <w:szCs w:val="24"/>
        </w:rPr>
      </w:pPr>
      <w:r w:rsidRPr="007D38E2">
        <w:rPr>
          <w:rFonts w:ascii="Times New Roman" w:hAnsi="Times New Roman" w:cs="Times New Roman"/>
          <w:i/>
          <w:iCs/>
          <w:sz w:val="24"/>
          <w:szCs w:val="24"/>
        </w:rPr>
        <w:t>Detection</w:t>
      </w:r>
    </w:p>
    <w:tbl>
      <w:tblPr>
        <w:tblStyle w:val="TableGrid"/>
        <w:tblW w:w="0" w:type="auto"/>
        <w:tblBorders>
          <w:top w:val="single" w:sz="6" w:space="0" w:color="000000" w:themeColor="text1"/>
          <w:left w:val="single" w:sz="6" w:space="0" w:color="000000" w:themeColor="text1"/>
          <w:bottom w:val="single" w:sz="4" w:space="0" w:color="auto"/>
          <w:right w:val="single" w:sz="6" w:space="0" w:color="000000" w:themeColor="text1"/>
          <w:insideH w:val="single" w:sz="6" w:space="0" w:color="000000" w:themeColor="text1"/>
          <w:insideV w:val="single" w:sz="6" w:space="0" w:color="000000" w:themeColor="text1"/>
        </w:tblBorders>
        <w:tblLook w:val="0020" w:firstRow="1" w:lastRow="0" w:firstColumn="0" w:lastColumn="0" w:noHBand="0" w:noVBand="0"/>
      </w:tblPr>
      <w:tblGrid>
        <w:gridCol w:w="2837"/>
        <w:gridCol w:w="1859"/>
        <w:gridCol w:w="4648"/>
      </w:tblGrid>
      <w:tr w:rsidR="00BE3068" w:rsidRPr="00682EEE" w14:paraId="0BDCF1D4" w14:textId="77777777" w:rsidTr="00D2708E">
        <w:trPr>
          <w:cantSplit/>
          <w:trHeight w:val="300"/>
          <w:tblHeader/>
        </w:trPr>
        <w:tc>
          <w:tcPr>
            <w:tcW w:w="1887" w:type="dxa"/>
            <w:shd w:val="clear" w:color="auto" w:fill="FFFFFF" w:themeFill="background1"/>
            <w:tcMar>
              <w:left w:w="105" w:type="dxa"/>
              <w:right w:w="105" w:type="dxa"/>
            </w:tcMar>
          </w:tcPr>
          <w:p w14:paraId="11F2C5C2" w14:textId="77777777" w:rsidR="00BE3068" w:rsidRPr="00682EEE" w:rsidRDefault="00BE3068" w:rsidP="00D2708E">
            <w:pPr>
              <w:contextualSpacing/>
              <w:jc w:val="center"/>
              <w:rPr>
                <w:rFonts w:ascii="Times New Roman" w:hAnsi="Times New Roman" w:cs="Times New Roman"/>
              </w:rPr>
            </w:pPr>
            <w:r w:rsidRPr="00682EEE">
              <w:rPr>
                <w:rFonts w:ascii="Times New Roman" w:hAnsi="Times New Roman" w:cs="Times New Roman"/>
                <w:b/>
                <w:bCs/>
              </w:rPr>
              <w:t>Step</w:t>
            </w:r>
          </w:p>
        </w:tc>
        <w:tc>
          <w:tcPr>
            <w:tcW w:w="1919" w:type="dxa"/>
            <w:shd w:val="clear" w:color="auto" w:fill="FFFFFF" w:themeFill="background1"/>
            <w:tcMar>
              <w:left w:w="105" w:type="dxa"/>
              <w:right w:w="105" w:type="dxa"/>
            </w:tcMar>
          </w:tcPr>
          <w:p w14:paraId="29994F29" w14:textId="77777777" w:rsidR="00BE3068" w:rsidRPr="00682EEE" w:rsidRDefault="00BE3068" w:rsidP="00D2708E">
            <w:pPr>
              <w:contextualSpacing/>
              <w:jc w:val="center"/>
              <w:rPr>
                <w:rFonts w:ascii="Times New Roman" w:hAnsi="Times New Roman" w:cs="Times New Roman"/>
              </w:rPr>
            </w:pPr>
            <w:r w:rsidRPr="00682EEE">
              <w:rPr>
                <w:rFonts w:ascii="Times New Roman" w:hAnsi="Times New Roman" w:cs="Times New Roman"/>
                <w:b/>
                <w:bCs/>
              </w:rPr>
              <w:t>Role and Responsibility</w:t>
            </w:r>
          </w:p>
        </w:tc>
        <w:tc>
          <w:tcPr>
            <w:tcW w:w="5554" w:type="dxa"/>
            <w:shd w:val="clear" w:color="auto" w:fill="FFFFFF" w:themeFill="background1"/>
            <w:tcMar>
              <w:left w:w="105" w:type="dxa"/>
              <w:right w:w="105" w:type="dxa"/>
            </w:tcMar>
          </w:tcPr>
          <w:p w14:paraId="797EADC2" w14:textId="77777777" w:rsidR="00BE3068" w:rsidRPr="00682EEE" w:rsidRDefault="00BE3068" w:rsidP="00D2708E">
            <w:pPr>
              <w:contextualSpacing/>
              <w:jc w:val="center"/>
              <w:rPr>
                <w:rFonts w:ascii="Times New Roman" w:hAnsi="Times New Roman" w:cs="Times New Roman"/>
              </w:rPr>
            </w:pPr>
            <w:r w:rsidRPr="00682EEE">
              <w:rPr>
                <w:rFonts w:ascii="Times New Roman" w:hAnsi="Times New Roman" w:cs="Times New Roman"/>
                <w:b/>
                <w:bCs/>
              </w:rPr>
              <w:t>Rationale Behind Assignment:</w:t>
            </w:r>
          </w:p>
        </w:tc>
      </w:tr>
      <w:tr w:rsidR="00BE3068" w:rsidRPr="00682EEE" w14:paraId="72150636" w14:textId="77777777" w:rsidTr="00D2708E">
        <w:trPr>
          <w:cantSplit/>
          <w:trHeight w:val="300"/>
        </w:trPr>
        <w:tc>
          <w:tcPr>
            <w:tcW w:w="1887" w:type="dxa"/>
            <w:shd w:val="clear" w:color="auto" w:fill="FFFFFF" w:themeFill="background1"/>
            <w:tcMar>
              <w:left w:w="105" w:type="dxa"/>
              <w:right w:w="105" w:type="dxa"/>
            </w:tcMar>
          </w:tcPr>
          <w:p w14:paraId="3635F95B"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Continuous Monitoring</w:t>
            </w:r>
          </w:p>
        </w:tc>
        <w:tc>
          <w:tcPr>
            <w:tcW w:w="1919" w:type="dxa"/>
            <w:shd w:val="clear" w:color="auto" w:fill="FFFFFF" w:themeFill="background1"/>
            <w:tcMar>
              <w:left w:w="105" w:type="dxa"/>
              <w:right w:w="105" w:type="dxa"/>
            </w:tcMar>
          </w:tcPr>
          <w:p w14:paraId="4FABD965"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SOC Team/ Security Analyst</w:t>
            </w:r>
          </w:p>
        </w:tc>
        <w:tc>
          <w:tcPr>
            <w:tcW w:w="5554" w:type="dxa"/>
            <w:shd w:val="clear" w:color="auto" w:fill="FFFFFF" w:themeFill="background1"/>
            <w:tcMar>
              <w:left w:w="105" w:type="dxa"/>
              <w:right w:w="105" w:type="dxa"/>
            </w:tcMar>
          </w:tcPr>
          <w:p w14:paraId="0EBFE085"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The security analyst or SOC team will use tools to monitor the system for anomalies</w:t>
            </w:r>
          </w:p>
        </w:tc>
      </w:tr>
      <w:tr w:rsidR="00BE3068" w:rsidRPr="00682EEE" w14:paraId="536B7F17" w14:textId="77777777" w:rsidTr="00D2708E">
        <w:trPr>
          <w:cantSplit/>
          <w:trHeight w:val="300"/>
        </w:trPr>
        <w:tc>
          <w:tcPr>
            <w:tcW w:w="1887" w:type="dxa"/>
            <w:shd w:val="clear" w:color="auto" w:fill="FFFFFF" w:themeFill="background1"/>
            <w:tcMar>
              <w:left w:w="105" w:type="dxa"/>
              <w:right w:w="105" w:type="dxa"/>
            </w:tcMar>
          </w:tcPr>
          <w:p w14:paraId="2B9C32CA"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Incident logging</w:t>
            </w:r>
          </w:p>
        </w:tc>
        <w:tc>
          <w:tcPr>
            <w:tcW w:w="1919" w:type="dxa"/>
            <w:shd w:val="clear" w:color="auto" w:fill="FFFFFF" w:themeFill="background1"/>
            <w:tcMar>
              <w:left w:w="105" w:type="dxa"/>
              <w:right w:w="105" w:type="dxa"/>
            </w:tcMar>
          </w:tcPr>
          <w:p w14:paraId="22553BE3"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Security Analyst</w:t>
            </w:r>
          </w:p>
        </w:tc>
        <w:tc>
          <w:tcPr>
            <w:tcW w:w="5554" w:type="dxa"/>
            <w:shd w:val="clear" w:color="auto" w:fill="FFFFFF" w:themeFill="background1"/>
            <w:tcMar>
              <w:left w:w="105" w:type="dxa"/>
              <w:right w:w="105" w:type="dxa"/>
            </w:tcMar>
          </w:tcPr>
          <w:p w14:paraId="3AE73866"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The analyst will log the incident in the system after detection and begins documentation</w:t>
            </w:r>
          </w:p>
        </w:tc>
      </w:tr>
      <w:tr w:rsidR="00BE3068" w:rsidRPr="00682EEE" w14:paraId="33D4E352" w14:textId="77777777" w:rsidTr="00D2708E">
        <w:trPr>
          <w:cantSplit/>
          <w:trHeight w:val="300"/>
        </w:trPr>
        <w:tc>
          <w:tcPr>
            <w:tcW w:w="1887" w:type="dxa"/>
            <w:shd w:val="clear" w:color="auto" w:fill="FFFFFF" w:themeFill="background1"/>
            <w:tcMar>
              <w:left w:w="105" w:type="dxa"/>
              <w:right w:w="105" w:type="dxa"/>
            </w:tcMar>
          </w:tcPr>
          <w:p w14:paraId="5DF76D9F"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Categorizing/Classification</w:t>
            </w:r>
          </w:p>
        </w:tc>
        <w:tc>
          <w:tcPr>
            <w:tcW w:w="1919" w:type="dxa"/>
            <w:shd w:val="clear" w:color="auto" w:fill="FFFFFF" w:themeFill="background1"/>
            <w:tcMar>
              <w:left w:w="105" w:type="dxa"/>
              <w:right w:w="105" w:type="dxa"/>
            </w:tcMar>
          </w:tcPr>
          <w:p w14:paraId="7835458C"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Incident Response Team</w:t>
            </w:r>
          </w:p>
        </w:tc>
        <w:tc>
          <w:tcPr>
            <w:tcW w:w="5554" w:type="dxa"/>
            <w:shd w:val="clear" w:color="auto" w:fill="FFFFFF" w:themeFill="background1"/>
            <w:tcMar>
              <w:left w:w="105" w:type="dxa"/>
              <w:right w:w="105" w:type="dxa"/>
            </w:tcMar>
          </w:tcPr>
          <w:p w14:paraId="2EBA156E"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The team will determine the severity of the incident, the type of the incident, and the impact it has on the system</w:t>
            </w:r>
          </w:p>
        </w:tc>
      </w:tr>
      <w:tr w:rsidR="00BE3068" w:rsidRPr="00682EEE" w14:paraId="5D438B1F" w14:textId="77777777" w:rsidTr="00D2708E">
        <w:trPr>
          <w:cantSplit/>
          <w:trHeight w:val="300"/>
        </w:trPr>
        <w:tc>
          <w:tcPr>
            <w:tcW w:w="1887" w:type="dxa"/>
            <w:shd w:val="clear" w:color="auto" w:fill="FFFFFF" w:themeFill="background1"/>
            <w:tcMar>
              <w:left w:w="105" w:type="dxa"/>
              <w:right w:w="105" w:type="dxa"/>
            </w:tcMar>
          </w:tcPr>
          <w:p w14:paraId="092189C6"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Notification of Initial Findings</w:t>
            </w:r>
          </w:p>
        </w:tc>
        <w:tc>
          <w:tcPr>
            <w:tcW w:w="1919" w:type="dxa"/>
            <w:shd w:val="clear" w:color="auto" w:fill="FFFFFF" w:themeFill="background1"/>
            <w:tcMar>
              <w:left w:w="105" w:type="dxa"/>
              <w:right w:w="105" w:type="dxa"/>
            </w:tcMar>
          </w:tcPr>
          <w:p w14:paraId="66AF2142"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CISO or Security Manager</w:t>
            </w:r>
          </w:p>
        </w:tc>
        <w:tc>
          <w:tcPr>
            <w:tcW w:w="5554" w:type="dxa"/>
            <w:shd w:val="clear" w:color="auto" w:fill="FFFFFF" w:themeFill="background1"/>
            <w:tcMar>
              <w:left w:w="105" w:type="dxa"/>
              <w:right w:w="105" w:type="dxa"/>
            </w:tcMar>
          </w:tcPr>
          <w:p w14:paraId="679BC0E2" w14:textId="77777777" w:rsidR="00BE3068" w:rsidRPr="00682EEE" w:rsidRDefault="00BE3068" w:rsidP="00D2708E">
            <w:pPr>
              <w:contextualSpacing/>
              <w:rPr>
                <w:rFonts w:ascii="Times New Roman" w:eastAsia="Calibri" w:hAnsi="Times New Roman" w:cs="Times New Roman"/>
                <w:lang w:val="en"/>
              </w:rPr>
            </w:pPr>
            <w:r w:rsidRPr="00682EEE">
              <w:rPr>
                <w:rFonts w:ascii="Times New Roman" w:eastAsia="Calibri" w:hAnsi="Times New Roman" w:cs="Times New Roman"/>
                <w:lang w:val="en"/>
              </w:rPr>
              <w:t>Ensures that all stakeholders are in communication with each other regarding the incident</w:t>
            </w:r>
          </w:p>
        </w:tc>
      </w:tr>
    </w:tbl>
    <w:p w14:paraId="57938A1B" w14:textId="0D4FBC9C" w:rsidR="00BE3068" w:rsidRPr="00AE1C1F" w:rsidRDefault="00BE3068" w:rsidP="00AE1C1F">
      <w:pPr>
        <w:spacing w:after="0" w:line="480" w:lineRule="auto"/>
        <w:contextualSpacing/>
        <w:rPr>
          <w:rFonts w:ascii="Times New Roman" w:eastAsia="Calibri" w:hAnsi="Times New Roman" w:cs="Times New Roman"/>
          <w:i/>
          <w:iCs/>
          <w:lang w:val="en"/>
        </w:rPr>
      </w:pPr>
      <w:r w:rsidRPr="00D553AB">
        <w:rPr>
          <w:rFonts w:ascii="Times New Roman" w:eastAsia="Calibri" w:hAnsi="Times New Roman" w:cs="Times New Roman"/>
          <w:i/>
          <w:iCs/>
          <w:lang w:val="en"/>
        </w:rPr>
        <w:t>Notes: The detection step in an IR determines if an incident occurred, its severity, and what type of incident</w:t>
      </w:r>
      <w:r>
        <w:rPr>
          <w:rFonts w:ascii="Times New Roman" w:eastAsia="Calibri" w:hAnsi="Times New Roman" w:cs="Times New Roman"/>
          <w:i/>
          <w:iCs/>
          <w:lang w:val="en"/>
        </w:rPr>
        <w:t xml:space="preserve"> (Cranford, 2023). </w:t>
      </w:r>
      <w:r w:rsidRPr="00D553AB">
        <w:rPr>
          <w:rFonts w:ascii="Times New Roman" w:eastAsia="Calibri" w:hAnsi="Times New Roman" w:cs="Times New Roman"/>
          <w:i/>
          <w:iCs/>
          <w:lang w:val="en"/>
        </w:rPr>
        <w:t xml:space="preserve">Table 1 lists the steps of the detection of an incident, who is responsible for the detection and the rationale behind assigning those roles. </w:t>
      </w:r>
    </w:p>
    <w:p w14:paraId="52260F38" w14:textId="77777777" w:rsidR="00BE3068" w:rsidRPr="005F00EE" w:rsidRDefault="00BE3068" w:rsidP="00BE3068">
      <w:pPr>
        <w:pStyle w:val="Heading2"/>
        <w:rPr>
          <w:rFonts w:ascii="Times New Roman" w:hAnsi="Times New Roman" w:cs="Times New Roman"/>
          <w:sz w:val="24"/>
          <w:szCs w:val="24"/>
        </w:rPr>
      </w:pPr>
      <w:r w:rsidRPr="005F00EE">
        <w:rPr>
          <w:rFonts w:ascii="Times New Roman" w:hAnsi="Times New Roman" w:cs="Times New Roman"/>
          <w:sz w:val="24"/>
          <w:szCs w:val="24"/>
        </w:rPr>
        <w:t>Table 2</w:t>
      </w:r>
    </w:p>
    <w:p w14:paraId="1922A6EC" w14:textId="77777777" w:rsidR="00BE3068" w:rsidRPr="007D38E2" w:rsidRDefault="00BE3068" w:rsidP="00BE3068">
      <w:pPr>
        <w:pStyle w:val="Heading2"/>
        <w:rPr>
          <w:rFonts w:ascii="Times New Roman" w:hAnsi="Times New Roman" w:cs="Times New Roman"/>
          <w:b/>
          <w:bCs/>
          <w:i/>
          <w:iCs/>
          <w:sz w:val="24"/>
          <w:szCs w:val="24"/>
        </w:rPr>
      </w:pPr>
      <w:r w:rsidRPr="007D38E2">
        <w:rPr>
          <w:rFonts w:ascii="Times New Roman" w:hAnsi="Times New Roman" w:cs="Times New Roman"/>
          <w:i/>
          <w:iCs/>
          <w:sz w:val="24"/>
          <w:szCs w:val="24"/>
        </w:rPr>
        <w:t>Response</w:t>
      </w:r>
    </w:p>
    <w:tbl>
      <w:tblPr>
        <w:tblStyle w:val="TableGrid"/>
        <w:tblW w:w="0" w:type="auto"/>
        <w:tblBorders>
          <w:top w:val="single" w:sz="6" w:space="0" w:color="auto"/>
          <w:left w:val="single" w:sz="6" w:space="0" w:color="auto"/>
          <w:bottom w:val="single" w:sz="6" w:space="0" w:color="auto"/>
          <w:right w:val="single" w:sz="6" w:space="0" w:color="auto"/>
        </w:tblBorders>
        <w:tblLook w:val="0020" w:firstRow="1" w:lastRow="0" w:firstColumn="0" w:lastColumn="0" w:noHBand="0" w:noVBand="0"/>
      </w:tblPr>
      <w:tblGrid>
        <w:gridCol w:w="1886"/>
        <w:gridCol w:w="1918"/>
        <w:gridCol w:w="5540"/>
      </w:tblGrid>
      <w:tr w:rsidR="00BE3068" w:rsidRPr="00B50D7C" w14:paraId="343D9D84" w14:textId="77777777" w:rsidTr="00D2708E">
        <w:trPr>
          <w:cantSplit/>
          <w:trHeight w:val="300"/>
          <w:tblHeader/>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16A5B76" w14:textId="77777777" w:rsidR="00BE3068" w:rsidRPr="00B50D7C" w:rsidRDefault="00BE3068" w:rsidP="00D2708E">
            <w:pPr>
              <w:contextualSpacing/>
              <w:jc w:val="center"/>
              <w:rPr>
                <w:rFonts w:ascii="Times New Roman" w:hAnsi="Times New Roman" w:cs="Times New Roman"/>
              </w:rPr>
            </w:pPr>
            <w:r w:rsidRPr="00B50D7C">
              <w:rPr>
                <w:rFonts w:ascii="Times New Roman" w:hAnsi="Times New Roman" w:cs="Times New Roman"/>
                <w:b/>
                <w:bCs/>
              </w:rPr>
              <w:t>Step</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843B2C1" w14:textId="77777777" w:rsidR="00BE3068" w:rsidRPr="00B50D7C" w:rsidRDefault="00BE3068" w:rsidP="00D2708E">
            <w:pPr>
              <w:contextualSpacing/>
              <w:jc w:val="center"/>
              <w:rPr>
                <w:rFonts w:ascii="Times New Roman" w:hAnsi="Times New Roman" w:cs="Times New Roman"/>
              </w:rPr>
            </w:pPr>
            <w:r w:rsidRPr="00B50D7C">
              <w:rPr>
                <w:rFonts w:ascii="Times New Roman" w:hAnsi="Times New Roman" w:cs="Times New Roman"/>
                <w:b/>
                <w:bCs/>
              </w:rPr>
              <w:t>Role and Responsibility</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82D7DBD" w14:textId="77777777" w:rsidR="00BE3068" w:rsidRPr="00B50D7C" w:rsidRDefault="00BE3068" w:rsidP="00D2708E">
            <w:pPr>
              <w:contextualSpacing/>
              <w:jc w:val="center"/>
              <w:rPr>
                <w:rFonts w:ascii="Times New Roman" w:hAnsi="Times New Roman" w:cs="Times New Roman"/>
              </w:rPr>
            </w:pPr>
            <w:r w:rsidRPr="00B50D7C">
              <w:rPr>
                <w:rFonts w:ascii="Times New Roman" w:hAnsi="Times New Roman" w:cs="Times New Roman"/>
                <w:b/>
                <w:bCs/>
              </w:rPr>
              <w:t>Rationale Behind Assignment</w:t>
            </w:r>
          </w:p>
        </w:tc>
      </w:tr>
      <w:tr w:rsidR="00BE3068" w:rsidRPr="00B50D7C" w14:paraId="42FBE0C1"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AD0B356"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Containment</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37CB0AC"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Network Engineer/ Incident Response Team</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192ACCD"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The team will isolate the affected area to avoid the spread of contamination to other systems.</w:t>
            </w:r>
          </w:p>
        </w:tc>
      </w:tr>
      <w:tr w:rsidR="00BE3068" w:rsidRPr="00B50D7C" w14:paraId="6DDEADA9"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3EA335D"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Evidence Collection</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AC15C29"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Digital Forensics Analyst</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6F987E1"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Ensures that the evidence that is collected maintains proper chain of custody to ensure legal admissibility</w:t>
            </w:r>
          </w:p>
        </w:tc>
      </w:tr>
      <w:tr w:rsidR="00BE3068" w:rsidRPr="00B50D7C" w14:paraId="645E5370"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2B90DF4"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Threat Analysis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059104C"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Threat Intelligence Analyst</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3D31876"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Determines how the attacked occurred and what vulnerabilities were discovered</w:t>
            </w:r>
          </w:p>
        </w:tc>
      </w:tr>
      <w:tr w:rsidR="00BE3068" w:rsidRPr="00B50D7C" w14:paraId="5F8247B7"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1B3D119"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Eradication</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A6964A7"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System Admin/IR Team</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84739D3"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Removes threat in its entirety and ensures that all patches and systems are updated</w:t>
            </w:r>
          </w:p>
        </w:tc>
      </w:tr>
      <w:tr w:rsidR="00BE3068" w:rsidRPr="00B50D7C" w14:paraId="4BDBE7EA"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4061F42"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Recovery</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9E9F069"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 xml:space="preserve">IT </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EB89FEC"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Restores business back to normal</w:t>
            </w:r>
          </w:p>
        </w:tc>
      </w:tr>
      <w:tr w:rsidR="00BE3068" w:rsidRPr="00B50D7C" w14:paraId="022B8AD5"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E5CEB47"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lastRenderedPageBreak/>
              <w:t xml:space="preserve">Post Incident Review </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DBAD284"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Compliance Officer, IT security</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32AF5FB"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Prevents reoccurrence of incident by gathering the information that was collected</w:t>
            </w:r>
          </w:p>
        </w:tc>
      </w:tr>
    </w:tbl>
    <w:p w14:paraId="5B79CF64" w14:textId="77777777" w:rsidR="00BE3068" w:rsidRDefault="00BE3068" w:rsidP="00BE3068">
      <w:pPr>
        <w:spacing w:after="0" w:line="240" w:lineRule="auto"/>
        <w:contextualSpacing/>
        <w:rPr>
          <w:rFonts w:ascii="Calibri" w:eastAsia="Calibri" w:hAnsi="Calibri" w:cs="Calibri"/>
          <w:sz w:val="22"/>
          <w:szCs w:val="22"/>
          <w:lang w:val="en"/>
        </w:rPr>
      </w:pPr>
    </w:p>
    <w:p w14:paraId="478FFD9D" w14:textId="47035402" w:rsidR="00BE3068" w:rsidRPr="00AE1C1F" w:rsidRDefault="00BE3068" w:rsidP="00AE1C1F">
      <w:pPr>
        <w:spacing w:after="0" w:line="480" w:lineRule="auto"/>
        <w:contextualSpacing/>
        <w:rPr>
          <w:rFonts w:ascii="Times New Roman" w:eastAsia="Calibri" w:hAnsi="Times New Roman" w:cs="Times New Roman"/>
          <w:i/>
          <w:iCs/>
          <w:lang w:val="en"/>
        </w:rPr>
      </w:pPr>
      <w:r w:rsidRPr="00D553AB">
        <w:rPr>
          <w:rFonts w:ascii="Times New Roman" w:eastAsia="Calibri" w:hAnsi="Times New Roman" w:cs="Times New Roman"/>
          <w:i/>
          <w:iCs/>
          <w:lang w:val="en"/>
        </w:rPr>
        <w:t xml:space="preserve">Notes: The </w:t>
      </w:r>
      <w:r>
        <w:rPr>
          <w:rFonts w:ascii="Times New Roman" w:eastAsia="Calibri" w:hAnsi="Times New Roman" w:cs="Times New Roman"/>
          <w:i/>
          <w:iCs/>
          <w:lang w:val="en"/>
        </w:rPr>
        <w:t>response</w:t>
      </w:r>
      <w:r w:rsidRPr="00D553AB">
        <w:rPr>
          <w:rFonts w:ascii="Times New Roman" w:eastAsia="Calibri" w:hAnsi="Times New Roman" w:cs="Times New Roman"/>
          <w:i/>
          <w:iCs/>
          <w:lang w:val="en"/>
        </w:rPr>
        <w:t xml:space="preserve"> step in IR </w:t>
      </w:r>
      <w:r>
        <w:rPr>
          <w:rFonts w:ascii="Times New Roman" w:eastAsia="Calibri" w:hAnsi="Times New Roman" w:cs="Times New Roman"/>
          <w:i/>
          <w:iCs/>
          <w:lang w:val="en"/>
        </w:rPr>
        <w:t>involves the action after the incident is detected (Brook, 2024). The response step includes the containment, eradication and recovery in the aftermath (Brook, 2024).</w:t>
      </w:r>
      <w:r w:rsidRPr="00D553AB">
        <w:rPr>
          <w:rFonts w:ascii="Times New Roman" w:eastAsia="Calibri" w:hAnsi="Times New Roman" w:cs="Times New Roman"/>
          <w:i/>
          <w:iCs/>
          <w:lang w:val="en"/>
        </w:rPr>
        <w:t xml:space="preserve"> Table </w:t>
      </w:r>
      <w:r>
        <w:rPr>
          <w:rFonts w:ascii="Times New Roman" w:eastAsia="Calibri" w:hAnsi="Times New Roman" w:cs="Times New Roman"/>
          <w:i/>
          <w:iCs/>
          <w:lang w:val="en"/>
        </w:rPr>
        <w:t xml:space="preserve">2 </w:t>
      </w:r>
      <w:r w:rsidRPr="00D553AB">
        <w:rPr>
          <w:rFonts w:ascii="Times New Roman" w:eastAsia="Calibri" w:hAnsi="Times New Roman" w:cs="Times New Roman"/>
          <w:i/>
          <w:iCs/>
          <w:lang w:val="en"/>
        </w:rPr>
        <w:t xml:space="preserve">lists the steps of the </w:t>
      </w:r>
      <w:r>
        <w:rPr>
          <w:rFonts w:ascii="Times New Roman" w:eastAsia="Calibri" w:hAnsi="Times New Roman" w:cs="Times New Roman"/>
          <w:i/>
          <w:iCs/>
          <w:lang w:val="en"/>
        </w:rPr>
        <w:t>response</w:t>
      </w:r>
      <w:r w:rsidRPr="00D553AB">
        <w:rPr>
          <w:rFonts w:ascii="Times New Roman" w:eastAsia="Calibri" w:hAnsi="Times New Roman" w:cs="Times New Roman"/>
          <w:i/>
          <w:iCs/>
          <w:lang w:val="en"/>
        </w:rPr>
        <w:t xml:space="preserve"> of an incident, who is responsible for the </w:t>
      </w:r>
      <w:r>
        <w:rPr>
          <w:rFonts w:ascii="Times New Roman" w:eastAsia="Calibri" w:hAnsi="Times New Roman" w:cs="Times New Roman"/>
          <w:i/>
          <w:iCs/>
          <w:lang w:val="en"/>
        </w:rPr>
        <w:t xml:space="preserve">response </w:t>
      </w:r>
      <w:r w:rsidRPr="00D553AB">
        <w:rPr>
          <w:rFonts w:ascii="Times New Roman" w:eastAsia="Calibri" w:hAnsi="Times New Roman" w:cs="Times New Roman"/>
          <w:i/>
          <w:iCs/>
          <w:lang w:val="en"/>
        </w:rPr>
        <w:t xml:space="preserve">and the rationale behind assigning those roles. </w:t>
      </w:r>
    </w:p>
    <w:p w14:paraId="7A0157A8" w14:textId="77777777" w:rsidR="00BE3068" w:rsidRPr="005F00EE" w:rsidRDefault="00BE3068" w:rsidP="00BE3068">
      <w:pPr>
        <w:rPr>
          <w:rFonts w:ascii="Calibri" w:eastAsia="Calibri" w:hAnsi="Calibri" w:cs="Calibri"/>
          <w:sz w:val="22"/>
          <w:szCs w:val="22"/>
          <w:lang w:val="en"/>
        </w:rPr>
      </w:pPr>
      <w:r w:rsidRPr="005F00EE">
        <w:rPr>
          <w:rFonts w:ascii="Times New Roman" w:eastAsia="Calibri" w:hAnsi="Times New Roman" w:cs="Times New Roman"/>
          <w:b/>
          <w:bCs/>
          <w:lang w:val="en"/>
        </w:rPr>
        <w:t>Table 3</w:t>
      </w:r>
    </w:p>
    <w:p w14:paraId="208CD041" w14:textId="77777777" w:rsidR="00BE3068" w:rsidRPr="007D38E2" w:rsidRDefault="00BE3068" w:rsidP="00BE3068">
      <w:pPr>
        <w:pStyle w:val="Heading2"/>
        <w:rPr>
          <w:rFonts w:ascii="Times New Roman" w:hAnsi="Times New Roman" w:cs="Times New Roman"/>
          <w:b/>
          <w:bCs/>
          <w:i/>
          <w:iCs/>
          <w:sz w:val="24"/>
          <w:szCs w:val="24"/>
        </w:rPr>
      </w:pPr>
      <w:r w:rsidRPr="007D38E2">
        <w:rPr>
          <w:rFonts w:ascii="Times New Roman" w:hAnsi="Times New Roman" w:cs="Times New Roman"/>
          <w:i/>
          <w:iCs/>
          <w:sz w:val="24"/>
          <w:szCs w:val="24"/>
        </w:rPr>
        <w:t>Communication and Reporting</w:t>
      </w:r>
    </w:p>
    <w:tbl>
      <w:tblPr>
        <w:tblStyle w:val="TableGrid"/>
        <w:tblW w:w="0" w:type="auto"/>
        <w:tblBorders>
          <w:top w:val="single" w:sz="6" w:space="0" w:color="auto"/>
          <w:left w:val="single" w:sz="6" w:space="0" w:color="auto"/>
          <w:bottom w:val="single" w:sz="6" w:space="0" w:color="auto"/>
          <w:right w:val="single" w:sz="6" w:space="0" w:color="auto"/>
        </w:tblBorders>
        <w:tblLook w:val="0020" w:firstRow="1" w:lastRow="0" w:firstColumn="0" w:lastColumn="0" w:noHBand="0" w:noVBand="0"/>
      </w:tblPr>
      <w:tblGrid>
        <w:gridCol w:w="1887"/>
        <w:gridCol w:w="1918"/>
        <w:gridCol w:w="5539"/>
      </w:tblGrid>
      <w:tr w:rsidR="00BE3068" w:rsidRPr="00B50D7C" w14:paraId="692690A5" w14:textId="77777777" w:rsidTr="00D2708E">
        <w:trPr>
          <w:cantSplit/>
          <w:trHeight w:val="300"/>
          <w:tblHeader/>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51E09C8" w14:textId="77777777" w:rsidR="00BE3068" w:rsidRPr="00B50D7C" w:rsidRDefault="00BE3068" w:rsidP="00D2708E">
            <w:pPr>
              <w:contextualSpacing/>
              <w:jc w:val="center"/>
              <w:rPr>
                <w:rFonts w:ascii="Times New Roman" w:hAnsi="Times New Roman" w:cs="Times New Roman"/>
              </w:rPr>
            </w:pPr>
            <w:r w:rsidRPr="00B50D7C">
              <w:rPr>
                <w:rFonts w:ascii="Times New Roman" w:hAnsi="Times New Roman" w:cs="Times New Roman"/>
                <w:b/>
                <w:bCs/>
              </w:rPr>
              <w:t>Step</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C6A1206" w14:textId="77777777" w:rsidR="00BE3068" w:rsidRPr="00B50D7C" w:rsidRDefault="00BE3068" w:rsidP="00D2708E">
            <w:pPr>
              <w:contextualSpacing/>
              <w:jc w:val="center"/>
              <w:rPr>
                <w:rFonts w:ascii="Times New Roman" w:hAnsi="Times New Roman" w:cs="Times New Roman"/>
              </w:rPr>
            </w:pPr>
            <w:r w:rsidRPr="00B50D7C">
              <w:rPr>
                <w:rFonts w:ascii="Times New Roman" w:hAnsi="Times New Roman" w:cs="Times New Roman"/>
                <w:b/>
                <w:bCs/>
              </w:rPr>
              <w:t>Role and Responsibility</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C425E41" w14:textId="77777777" w:rsidR="00BE3068" w:rsidRPr="00B50D7C" w:rsidRDefault="00BE3068" w:rsidP="00D2708E">
            <w:pPr>
              <w:contextualSpacing/>
              <w:jc w:val="center"/>
              <w:rPr>
                <w:rFonts w:ascii="Times New Roman" w:hAnsi="Times New Roman" w:cs="Times New Roman"/>
              </w:rPr>
            </w:pPr>
            <w:r w:rsidRPr="00B50D7C">
              <w:rPr>
                <w:rFonts w:ascii="Times New Roman" w:hAnsi="Times New Roman" w:cs="Times New Roman"/>
                <w:b/>
                <w:bCs/>
              </w:rPr>
              <w:t>Rationale Behind Assignment</w:t>
            </w:r>
          </w:p>
        </w:tc>
      </w:tr>
      <w:tr w:rsidR="00BE3068" w:rsidRPr="00B50D7C" w14:paraId="5BF78FBD"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787EA27"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Internal Alert</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42E9657"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Security Analyst</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A4A359D"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 xml:space="preserve">Detects the incident when it first occurs and informs the appropriate party </w:t>
            </w:r>
          </w:p>
        </w:tc>
      </w:tr>
      <w:tr w:rsidR="00BE3068" w:rsidRPr="00B50D7C" w14:paraId="3F94FF47"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3523F58"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Communication to affected parties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554EC35"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Public Relations</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5F693E7"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Notifies customers, media etc. of breach to protect reputation and provide transparency</w:t>
            </w:r>
          </w:p>
        </w:tc>
      </w:tr>
      <w:tr w:rsidR="00BE3068" w:rsidRPr="00B50D7C" w14:paraId="146B573A"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2121205"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 xml:space="preserve">Documentation of incident </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A4A31BF"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IR Team</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B631D64"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 xml:space="preserve">Maintains </w:t>
            </w:r>
            <w:proofErr w:type="gramStart"/>
            <w:r w:rsidRPr="00B50D7C">
              <w:rPr>
                <w:rFonts w:ascii="Times New Roman" w:eastAsia="Calibri" w:hAnsi="Times New Roman" w:cs="Times New Roman"/>
                <w:lang w:val="en"/>
              </w:rPr>
              <w:t>a</w:t>
            </w:r>
            <w:proofErr w:type="gramEnd"/>
            <w:r w:rsidRPr="00B50D7C">
              <w:rPr>
                <w:rFonts w:ascii="Times New Roman" w:eastAsia="Calibri" w:hAnsi="Times New Roman" w:cs="Times New Roman"/>
                <w:lang w:val="en"/>
              </w:rPr>
              <w:t xml:space="preserve"> auditable trail of the events that occurs for learning and external review</w:t>
            </w:r>
          </w:p>
        </w:tc>
      </w:tr>
      <w:tr w:rsidR="00BE3068" w:rsidRPr="00B50D7C" w14:paraId="4391008F"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4FE1400"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Post Incident</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2522C39"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CISO</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5777A06" w14:textId="77777777" w:rsidR="00BE3068" w:rsidRPr="00B50D7C" w:rsidRDefault="00BE3068" w:rsidP="00D2708E">
            <w:pPr>
              <w:contextualSpacing/>
              <w:rPr>
                <w:rFonts w:ascii="Times New Roman" w:eastAsia="Calibri" w:hAnsi="Times New Roman" w:cs="Times New Roman"/>
                <w:lang w:val="en"/>
              </w:rPr>
            </w:pPr>
            <w:r w:rsidRPr="00B50D7C">
              <w:rPr>
                <w:rFonts w:ascii="Times New Roman" w:eastAsia="Calibri" w:hAnsi="Times New Roman" w:cs="Times New Roman"/>
                <w:lang w:val="en"/>
              </w:rPr>
              <w:t xml:space="preserve">Identifies lessons learned and how to improve the system to prevent future breaches and communicates this with leadership </w:t>
            </w:r>
          </w:p>
        </w:tc>
      </w:tr>
    </w:tbl>
    <w:p w14:paraId="2CCF599F" w14:textId="77777777" w:rsidR="00BE3068" w:rsidRDefault="00BE3068" w:rsidP="00BE3068">
      <w:pPr>
        <w:spacing w:after="0" w:line="240" w:lineRule="auto"/>
        <w:contextualSpacing/>
        <w:rPr>
          <w:rFonts w:ascii="Calibri" w:eastAsia="Calibri" w:hAnsi="Calibri" w:cs="Calibri"/>
          <w:sz w:val="22"/>
          <w:szCs w:val="22"/>
          <w:lang w:val="en"/>
        </w:rPr>
      </w:pPr>
    </w:p>
    <w:p w14:paraId="29AE0347" w14:textId="77777777" w:rsidR="00BE3068" w:rsidRDefault="00BE3068" w:rsidP="00BE3068">
      <w:pPr>
        <w:spacing w:after="0" w:line="240" w:lineRule="auto"/>
        <w:contextualSpacing/>
        <w:rPr>
          <w:rFonts w:ascii="Calibri" w:eastAsia="Calibri" w:hAnsi="Calibri" w:cs="Calibri"/>
          <w:sz w:val="22"/>
          <w:szCs w:val="22"/>
          <w:lang w:val="en"/>
        </w:rPr>
      </w:pPr>
    </w:p>
    <w:p w14:paraId="13386A70" w14:textId="65BAB86D" w:rsidR="00BE3068" w:rsidRPr="00AE1C1F" w:rsidRDefault="00BE3068" w:rsidP="00AE1C1F">
      <w:pPr>
        <w:spacing w:after="0" w:line="480" w:lineRule="auto"/>
        <w:contextualSpacing/>
        <w:rPr>
          <w:rFonts w:ascii="Times New Roman" w:eastAsia="Calibri" w:hAnsi="Times New Roman" w:cs="Times New Roman"/>
          <w:i/>
          <w:iCs/>
          <w:lang w:val="en"/>
        </w:rPr>
      </w:pPr>
      <w:r w:rsidRPr="00D553AB">
        <w:rPr>
          <w:rFonts w:ascii="Times New Roman" w:eastAsia="Calibri" w:hAnsi="Times New Roman" w:cs="Times New Roman"/>
          <w:i/>
          <w:iCs/>
          <w:lang w:val="en"/>
        </w:rPr>
        <w:t xml:space="preserve">Notes: </w:t>
      </w:r>
      <w:r>
        <w:rPr>
          <w:rFonts w:ascii="Times New Roman" w:eastAsia="Calibri" w:hAnsi="Times New Roman" w:cs="Times New Roman"/>
          <w:i/>
          <w:iCs/>
          <w:lang w:val="en"/>
        </w:rPr>
        <w:t xml:space="preserve">In communication and reporting, it is essential that all parties that are affected by the incident are aware to ensure that the organization is compliant with regulatory standards and prevent legal and reputational damage (Cranford, 2023). </w:t>
      </w:r>
      <w:r w:rsidRPr="00D553AB">
        <w:rPr>
          <w:rFonts w:ascii="Times New Roman" w:eastAsia="Calibri" w:hAnsi="Times New Roman" w:cs="Times New Roman"/>
          <w:i/>
          <w:iCs/>
          <w:lang w:val="en"/>
        </w:rPr>
        <w:t xml:space="preserve">Table </w:t>
      </w:r>
      <w:r>
        <w:rPr>
          <w:rFonts w:ascii="Times New Roman" w:eastAsia="Calibri" w:hAnsi="Times New Roman" w:cs="Times New Roman"/>
          <w:i/>
          <w:iCs/>
          <w:lang w:val="en"/>
        </w:rPr>
        <w:t xml:space="preserve">3 </w:t>
      </w:r>
      <w:r w:rsidRPr="00D553AB">
        <w:rPr>
          <w:rFonts w:ascii="Times New Roman" w:eastAsia="Calibri" w:hAnsi="Times New Roman" w:cs="Times New Roman"/>
          <w:i/>
          <w:iCs/>
          <w:lang w:val="en"/>
        </w:rPr>
        <w:t xml:space="preserve">lists the steps of </w:t>
      </w:r>
      <w:r>
        <w:rPr>
          <w:rFonts w:ascii="Times New Roman" w:eastAsia="Calibri" w:hAnsi="Times New Roman" w:cs="Times New Roman"/>
          <w:i/>
          <w:iCs/>
          <w:lang w:val="en"/>
        </w:rPr>
        <w:t>communicating and reporting an</w:t>
      </w:r>
      <w:r w:rsidRPr="00D553AB">
        <w:rPr>
          <w:rFonts w:ascii="Times New Roman" w:eastAsia="Calibri" w:hAnsi="Times New Roman" w:cs="Times New Roman"/>
          <w:i/>
          <w:iCs/>
          <w:lang w:val="en"/>
        </w:rPr>
        <w:t xml:space="preserve"> incident, who is responsible for the </w:t>
      </w:r>
      <w:r>
        <w:rPr>
          <w:rFonts w:ascii="Times New Roman" w:eastAsia="Calibri" w:hAnsi="Times New Roman" w:cs="Times New Roman"/>
          <w:i/>
          <w:iCs/>
          <w:lang w:val="en"/>
        </w:rPr>
        <w:t xml:space="preserve">response </w:t>
      </w:r>
      <w:r w:rsidRPr="00D553AB">
        <w:rPr>
          <w:rFonts w:ascii="Times New Roman" w:eastAsia="Calibri" w:hAnsi="Times New Roman" w:cs="Times New Roman"/>
          <w:i/>
          <w:iCs/>
          <w:lang w:val="en"/>
        </w:rPr>
        <w:t xml:space="preserve">and the rationale behind assigning those roles. </w:t>
      </w:r>
    </w:p>
    <w:p w14:paraId="2020B594" w14:textId="77777777" w:rsidR="00AE1C1F" w:rsidRDefault="00AE1C1F" w:rsidP="00BE3068">
      <w:pPr>
        <w:spacing w:after="0" w:line="240" w:lineRule="auto"/>
        <w:contextualSpacing/>
        <w:rPr>
          <w:rFonts w:ascii="Times New Roman" w:eastAsia="Calibri" w:hAnsi="Times New Roman" w:cs="Times New Roman"/>
          <w:b/>
          <w:bCs/>
          <w:lang w:val="en"/>
        </w:rPr>
      </w:pPr>
    </w:p>
    <w:p w14:paraId="7657F6BE" w14:textId="5AB6567C" w:rsidR="00BE3068" w:rsidRPr="005F00EE" w:rsidRDefault="00BE3068" w:rsidP="00BE3068">
      <w:pPr>
        <w:spacing w:after="0" w:line="240" w:lineRule="auto"/>
        <w:contextualSpacing/>
        <w:rPr>
          <w:rFonts w:ascii="Times New Roman" w:eastAsia="Calibri" w:hAnsi="Times New Roman" w:cs="Times New Roman"/>
          <w:b/>
          <w:bCs/>
          <w:lang w:val="en"/>
        </w:rPr>
      </w:pPr>
      <w:r w:rsidRPr="005F00EE">
        <w:rPr>
          <w:rFonts w:ascii="Times New Roman" w:eastAsia="Calibri" w:hAnsi="Times New Roman" w:cs="Times New Roman"/>
          <w:b/>
          <w:bCs/>
          <w:lang w:val="en"/>
        </w:rPr>
        <w:t>Table 4</w:t>
      </w:r>
    </w:p>
    <w:p w14:paraId="27A1CFBC" w14:textId="77777777" w:rsidR="00BE3068" w:rsidRPr="007D38E2" w:rsidRDefault="00BE3068" w:rsidP="00BE3068">
      <w:pPr>
        <w:pStyle w:val="Heading2"/>
        <w:rPr>
          <w:rFonts w:ascii="Times New Roman" w:hAnsi="Times New Roman" w:cs="Times New Roman"/>
          <w:b/>
          <w:bCs/>
          <w:i/>
          <w:iCs/>
          <w:sz w:val="24"/>
          <w:szCs w:val="24"/>
        </w:rPr>
      </w:pPr>
      <w:r w:rsidRPr="007D38E2">
        <w:rPr>
          <w:rFonts w:ascii="Times New Roman" w:hAnsi="Times New Roman" w:cs="Times New Roman"/>
          <w:i/>
          <w:iCs/>
          <w:sz w:val="24"/>
          <w:szCs w:val="24"/>
        </w:rPr>
        <w:lastRenderedPageBreak/>
        <w:t>Prevention</w:t>
      </w:r>
    </w:p>
    <w:tbl>
      <w:tblPr>
        <w:tblStyle w:val="TableGrid"/>
        <w:tblW w:w="0" w:type="auto"/>
        <w:tblBorders>
          <w:top w:val="single" w:sz="6" w:space="0" w:color="auto"/>
          <w:left w:val="single" w:sz="6" w:space="0" w:color="auto"/>
          <w:bottom w:val="single" w:sz="6" w:space="0" w:color="auto"/>
          <w:right w:val="single" w:sz="6" w:space="0" w:color="auto"/>
        </w:tblBorders>
        <w:tblLook w:val="0020" w:firstRow="1" w:lastRow="0" w:firstColumn="0" w:lastColumn="0" w:noHBand="0" w:noVBand="0"/>
      </w:tblPr>
      <w:tblGrid>
        <w:gridCol w:w="1886"/>
        <w:gridCol w:w="1918"/>
        <w:gridCol w:w="5540"/>
      </w:tblGrid>
      <w:tr w:rsidR="00BE3068" w:rsidRPr="006115BB" w14:paraId="79C58A59" w14:textId="77777777" w:rsidTr="00D2708E">
        <w:trPr>
          <w:cantSplit/>
          <w:trHeight w:val="300"/>
          <w:tblHeader/>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5AB2AC1" w14:textId="77777777" w:rsidR="00BE3068" w:rsidRPr="00F467C5" w:rsidRDefault="00BE3068" w:rsidP="00D2708E">
            <w:pPr>
              <w:contextualSpacing/>
              <w:jc w:val="center"/>
              <w:rPr>
                <w:rFonts w:ascii="Times New Roman" w:hAnsi="Times New Roman" w:cs="Times New Roman"/>
              </w:rPr>
            </w:pPr>
            <w:r w:rsidRPr="00F467C5">
              <w:rPr>
                <w:rFonts w:ascii="Times New Roman" w:hAnsi="Times New Roman" w:cs="Times New Roman"/>
                <w:b/>
                <w:bCs/>
              </w:rPr>
              <w:t>Step</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293DE38" w14:textId="77777777" w:rsidR="00BE3068" w:rsidRPr="00F467C5" w:rsidRDefault="00BE3068" w:rsidP="00D2708E">
            <w:pPr>
              <w:contextualSpacing/>
              <w:jc w:val="center"/>
              <w:rPr>
                <w:rFonts w:ascii="Times New Roman" w:hAnsi="Times New Roman" w:cs="Times New Roman"/>
              </w:rPr>
            </w:pPr>
            <w:r w:rsidRPr="00F467C5">
              <w:rPr>
                <w:rFonts w:ascii="Times New Roman" w:hAnsi="Times New Roman" w:cs="Times New Roman"/>
                <w:b/>
                <w:bCs/>
              </w:rPr>
              <w:t>Role and Responsibility</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DC0D559" w14:textId="77777777" w:rsidR="00BE3068" w:rsidRPr="00F467C5" w:rsidRDefault="00BE3068" w:rsidP="00D2708E">
            <w:pPr>
              <w:contextualSpacing/>
              <w:jc w:val="center"/>
              <w:rPr>
                <w:rFonts w:ascii="Times New Roman" w:hAnsi="Times New Roman" w:cs="Times New Roman"/>
              </w:rPr>
            </w:pPr>
            <w:r w:rsidRPr="00F467C5">
              <w:rPr>
                <w:rFonts w:ascii="Times New Roman" w:hAnsi="Times New Roman" w:cs="Times New Roman"/>
                <w:b/>
                <w:bCs/>
              </w:rPr>
              <w:t>Rationale Behind Assignment</w:t>
            </w:r>
          </w:p>
        </w:tc>
      </w:tr>
      <w:tr w:rsidR="00BE3068" w:rsidRPr="00F467C5" w14:paraId="76A262EE"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A59826D"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Security Awareness Training</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6ED6072"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HR</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B99CEE2"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Ensures staff are knowledgeable on social engineering tactics and best practices to prevent them as well as reducing human errors.</w:t>
            </w:r>
          </w:p>
        </w:tc>
      </w:tr>
      <w:tr w:rsidR="00BE3068" w:rsidRPr="00F467C5" w14:paraId="542341A6"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4EBA3275"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Vulnerability Scanning and Patching</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82E7EDB"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IT Security Team</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AC574EC"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Ensures the regularly scanning of systems and preventing security gaps</w:t>
            </w:r>
          </w:p>
        </w:tc>
      </w:tr>
      <w:tr w:rsidR="00BE3068" w:rsidRPr="00F467C5" w14:paraId="1987210A"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79A54D2"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Network Segmentation and Access Control</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6B4DC20"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Network Engineer</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36D7751"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Reduces attack surface</w:t>
            </w:r>
          </w:p>
        </w:tc>
      </w:tr>
      <w:tr w:rsidR="00BE3068" w:rsidRPr="00F467C5" w14:paraId="631AADC5"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00B4277"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Endpoint protection &amp; Monitoring</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B01B428"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IT Security Team</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0B695626"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Monitors all endpoints, adding additional layer of defense such as MFA</w:t>
            </w:r>
          </w:p>
        </w:tc>
      </w:tr>
      <w:tr w:rsidR="00BE3068" w:rsidRPr="00F467C5" w14:paraId="2DBB5C24" w14:textId="77777777" w:rsidTr="00D2708E">
        <w:trPr>
          <w:cantSplit/>
          <w:trHeight w:val="300"/>
        </w:trPr>
        <w:tc>
          <w:tcPr>
            <w:tcW w:w="18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18940BA"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Data Encryption &amp; Backup</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984D119"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IT infrastructure Team</w:t>
            </w:r>
          </w:p>
        </w:tc>
        <w:tc>
          <w:tcPr>
            <w:tcW w:w="55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7568865" w14:textId="77777777" w:rsidR="00BE3068" w:rsidRPr="00F467C5" w:rsidRDefault="00BE3068" w:rsidP="00D2708E">
            <w:pPr>
              <w:contextualSpacing/>
              <w:rPr>
                <w:rFonts w:ascii="Times New Roman" w:eastAsia="Calibri" w:hAnsi="Times New Roman" w:cs="Times New Roman"/>
                <w:lang w:val="en"/>
              </w:rPr>
            </w:pPr>
            <w:r w:rsidRPr="00F467C5">
              <w:rPr>
                <w:rFonts w:ascii="Times New Roman" w:eastAsia="Calibri" w:hAnsi="Times New Roman" w:cs="Times New Roman"/>
                <w:lang w:val="en"/>
              </w:rPr>
              <w:t>Ensures the protection of sensitive data and ensures that it is retrievable in the event of an incident.</w:t>
            </w:r>
          </w:p>
        </w:tc>
      </w:tr>
    </w:tbl>
    <w:p w14:paraId="07CA9591" w14:textId="77777777" w:rsidR="00BE3068" w:rsidRDefault="00BE3068" w:rsidP="00BE3068">
      <w:pPr>
        <w:spacing w:after="0" w:line="240" w:lineRule="auto"/>
        <w:contextualSpacing/>
        <w:rPr>
          <w:rFonts w:ascii="Times New Roman" w:eastAsia="Calibri" w:hAnsi="Times New Roman" w:cs="Times New Roman"/>
          <w:lang w:val="en"/>
        </w:rPr>
      </w:pPr>
    </w:p>
    <w:p w14:paraId="01D88FE8" w14:textId="77777777" w:rsidR="00BE3068" w:rsidRPr="00D553AB" w:rsidRDefault="00BE3068" w:rsidP="00BE3068">
      <w:pPr>
        <w:spacing w:after="0" w:line="480" w:lineRule="auto"/>
        <w:contextualSpacing/>
        <w:rPr>
          <w:rFonts w:ascii="Times New Roman" w:eastAsia="Calibri" w:hAnsi="Times New Roman" w:cs="Times New Roman"/>
          <w:i/>
          <w:iCs/>
          <w:lang w:val="en"/>
        </w:rPr>
      </w:pPr>
      <w:r w:rsidRPr="00D553AB">
        <w:rPr>
          <w:rFonts w:ascii="Times New Roman" w:eastAsia="Calibri" w:hAnsi="Times New Roman" w:cs="Times New Roman"/>
          <w:i/>
          <w:iCs/>
          <w:lang w:val="en"/>
        </w:rPr>
        <w:t xml:space="preserve">Notes: </w:t>
      </w:r>
      <w:r>
        <w:rPr>
          <w:rFonts w:ascii="Times New Roman" w:eastAsia="Calibri" w:hAnsi="Times New Roman" w:cs="Times New Roman"/>
          <w:i/>
          <w:iCs/>
          <w:lang w:val="en"/>
        </w:rPr>
        <w:t xml:space="preserve">The prevention phase focuses on mitigating the risks and preventing the incident from reoccurring (Cranford, 2023). This step includes actions such implementing security controls, monitoring for suspicious activity and preventing future steps. </w:t>
      </w:r>
      <w:r w:rsidRPr="00D553AB">
        <w:rPr>
          <w:rFonts w:ascii="Times New Roman" w:eastAsia="Calibri" w:hAnsi="Times New Roman" w:cs="Times New Roman"/>
          <w:i/>
          <w:iCs/>
          <w:lang w:val="en"/>
        </w:rPr>
        <w:t xml:space="preserve">Table </w:t>
      </w:r>
      <w:r>
        <w:rPr>
          <w:rFonts w:ascii="Times New Roman" w:eastAsia="Calibri" w:hAnsi="Times New Roman" w:cs="Times New Roman"/>
          <w:i/>
          <w:iCs/>
          <w:lang w:val="en"/>
        </w:rPr>
        <w:t>4 lists</w:t>
      </w:r>
      <w:r w:rsidRPr="00D553AB">
        <w:rPr>
          <w:rFonts w:ascii="Times New Roman" w:eastAsia="Calibri" w:hAnsi="Times New Roman" w:cs="Times New Roman"/>
          <w:i/>
          <w:iCs/>
          <w:lang w:val="en"/>
        </w:rPr>
        <w:t xml:space="preserve"> the steps of</w:t>
      </w:r>
      <w:r>
        <w:rPr>
          <w:rFonts w:ascii="Times New Roman" w:eastAsia="Calibri" w:hAnsi="Times New Roman" w:cs="Times New Roman"/>
          <w:i/>
          <w:iCs/>
          <w:lang w:val="en"/>
        </w:rPr>
        <w:t xml:space="preserve"> the prevention phase, who</w:t>
      </w:r>
      <w:r w:rsidRPr="00D553AB">
        <w:rPr>
          <w:rFonts w:ascii="Times New Roman" w:eastAsia="Calibri" w:hAnsi="Times New Roman" w:cs="Times New Roman"/>
          <w:i/>
          <w:iCs/>
          <w:lang w:val="en"/>
        </w:rPr>
        <w:t xml:space="preserve"> is responsible for the </w:t>
      </w:r>
      <w:r>
        <w:rPr>
          <w:rFonts w:ascii="Times New Roman" w:eastAsia="Calibri" w:hAnsi="Times New Roman" w:cs="Times New Roman"/>
          <w:i/>
          <w:iCs/>
          <w:lang w:val="en"/>
        </w:rPr>
        <w:t xml:space="preserve">response </w:t>
      </w:r>
      <w:r w:rsidRPr="00D553AB">
        <w:rPr>
          <w:rFonts w:ascii="Times New Roman" w:eastAsia="Calibri" w:hAnsi="Times New Roman" w:cs="Times New Roman"/>
          <w:i/>
          <w:iCs/>
          <w:lang w:val="en"/>
        </w:rPr>
        <w:t xml:space="preserve">and the rationale behind assigning those roles. </w:t>
      </w:r>
    </w:p>
    <w:p w14:paraId="6C155B8B" w14:textId="77777777" w:rsidR="00BE3068" w:rsidRDefault="00BE3068" w:rsidP="00BE3068">
      <w:pPr>
        <w:spacing w:after="0" w:line="240" w:lineRule="auto"/>
        <w:contextualSpacing/>
        <w:rPr>
          <w:rFonts w:ascii="Calibri" w:eastAsia="Calibri" w:hAnsi="Calibri" w:cs="Calibri"/>
          <w:sz w:val="22"/>
          <w:szCs w:val="22"/>
          <w:lang w:val="en"/>
        </w:rPr>
      </w:pPr>
    </w:p>
    <w:p w14:paraId="61EAB99C" w14:textId="4EFFFCC5" w:rsidR="00BE3068" w:rsidRPr="00BE3068" w:rsidRDefault="00BE3068" w:rsidP="00BE3068">
      <w:pPr>
        <w:spacing w:after="0" w:line="240" w:lineRule="auto"/>
        <w:contextualSpacing/>
        <w:rPr>
          <w:rFonts w:ascii="Times New Roman" w:eastAsia="Calibri" w:hAnsi="Times New Roman" w:cs="Times New Roman"/>
          <w:b/>
          <w:bCs/>
          <w:lang w:val="en"/>
        </w:rPr>
      </w:pPr>
      <w:r w:rsidRPr="00BE3068">
        <w:rPr>
          <w:rFonts w:ascii="Times New Roman" w:eastAsia="Calibri" w:hAnsi="Times New Roman" w:cs="Times New Roman"/>
          <w:b/>
          <w:bCs/>
          <w:sz w:val="22"/>
          <w:szCs w:val="22"/>
          <w:lang w:val="en"/>
        </w:rPr>
        <w:t>Detection Approach</w:t>
      </w:r>
    </w:p>
    <w:p w14:paraId="0A99383B" w14:textId="77777777" w:rsidR="00BE3068" w:rsidRDefault="00BE3068" w:rsidP="00BE3068">
      <w:pPr>
        <w:spacing w:after="0" w:line="240" w:lineRule="auto"/>
        <w:contextualSpacing/>
        <w:rPr>
          <w:rFonts w:ascii="Times New Roman" w:eastAsia="Calibri" w:hAnsi="Times New Roman" w:cs="Times New Roman"/>
          <w:lang w:val="en"/>
        </w:rPr>
      </w:pPr>
    </w:p>
    <w:p w14:paraId="1FAB7A21" w14:textId="1239E313" w:rsidR="001C7AFA" w:rsidRPr="007C2599" w:rsidRDefault="00BE3068" w:rsidP="007C2599">
      <w:pPr>
        <w:spacing w:after="0" w:line="480" w:lineRule="auto"/>
        <w:ind w:firstLine="720"/>
        <w:contextualSpacing/>
        <w:rPr>
          <w:rFonts w:ascii="Times New Roman" w:eastAsia="Calibri" w:hAnsi="Times New Roman" w:cs="Times New Roman"/>
          <w:lang w:val="en"/>
        </w:rPr>
      </w:pPr>
      <w:r>
        <w:rPr>
          <w:rFonts w:ascii="Times New Roman" w:eastAsia="Calibri" w:hAnsi="Times New Roman" w:cs="Times New Roman"/>
          <w:lang w:val="en"/>
        </w:rPr>
        <w:t xml:space="preserve">The attack on the bank was identified </w:t>
      </w:r>
      <w:r w:rsidR="001C7AFA">
        <w:rPr>
          <w:rFonts w:ascii="Times New Roman" w:eastAsia="Calibri" w:hAnsi="Times New Roman" w:cs="Times New Roman"/>
          <w:lang w:val="en"/>
        </w:rPr>
        <w:t>through</w:t>
      </w:r>
      <w:r>
        <w:rPr>
          <w:rFonts w:ascii="Times New Roman" w:eastAsia="Calibri" w:hAnsi="Times New Roman" w:cs="Times New Roman"/>
          <w:lang w:val="en"/>
        </w:rPr>
        <w:t xml:space="preserve"> a combination of user reporting and </w:t>
      </w:r>
      <w:r w:rsidR="001C7AFA">
        <w:rPr>
          <w:rFonts w:ascii="Times New Roman" w:eastAsia="Calibri" w:hAnsi="Times New Roman" w:cs="Times New Roman"/>
          <w:lang w:val="en"/>
        </w:rPr>
        <w:t>system-based</w:t>
      </w:r>
      <w:r>
        <w:rPr>
          <w:rFonts w:ascii="Times New Roman" w:eastAsia="Calibri" w:hAnsi="Times New Roman" w:cs="Times New Roman"/>
          <w:lang w:val="en"/>
        </w:rPr>
        <w:t xml:space="preserve"> </w:t>
      </w:r>
      <w:r w:rsidR="001C7AFA">
        <w:rPr>
          <w:rFonts w:ascii="Times New Roman" w:eastAsia="Calibri" w:hAnsi="Times New Roman" w:cs="Times New Roman"/>
          <w:lang w:val="en"/>
        </w:rPr>
        <w:t>anomalies</w:t>
      </w:r>
      <w:r>
        <w:rPr>
          <w:rFonts w:ascii="Times New Roman" w:eastAsia="Calibri" w:hAnsi="Times New Roman" w:cs="Times New Roman"/>
          <w:lang w:val="en"/>
        </w:rPr>
        <w:t xml:space="preserve">. This showed indicators of compromise or </w:t>
      </w:r>
      <w:proofErr w:type="spellStart"/>
      <w:r>
        <w:rPr>
          <w:rFonts w:ascii="Times New Roman" w:eastAsia="Calibri" w:hAnsi="Times New Roman" w:cs="Times New Roman"/>
          <w:lang w:val="en"/>
        </w:rPr>
        <w:t>IoCs</w:t>
      </w:r>
      <w:proofErr w:type="spellEnd"/>
      <w:r>
        <w:rPr>
          <w:rFonts w:ascii="Times New Roman" w:eastAsia="Calibri" w:hAnsi="Times New Roman" w:cs="Times New Roman"/>
          <w:lang w:val="en"/>
        </w:rPr>
        <w:t xml:space="preserve"> that included CPU spiked, </w:t>
      </w:r>
      <w:r w:rsidR="001C7AFA">
        <w:rPr>
          <w:rFonts w:ascii="Times New Roman" w:eastAsia="Calibri" w:hAnsi="Times New Roman" w:cs="Times New Roman"/>
          <w:lang w:val="en"/>
        </w:rPr>
        <w:t>suspicious</w:t>
      </w:r>
      <w:r>
        <w:rPr>
          <w:rFonts w:ascii="Times New Roman" w:eastAsia="Calibri" w:hAnsi="Times New Roman" w:cs="Times New Roman"/>
          <w:lang w:val="en"/>
        </w:rPr>
        <w:t xml:space="preserve"> outbound connects and lo</w:t>
      </w:r>
      <w:r w:rsidR="001C7AFA">
        <w:rPr>
          <w:rFonts w:ascii="Times New Roman" w:eastAsia="Calibri" w:hAnsi="Times New Roman" w:cs="Times New Roman"/>
          <w:lang w:val="en"/>
        </w:rPr>
        <w:t>gged anomalies across</w:t>
      </w:r>
      <w:r>
        <w:rPr>
          <w:rFonts w:ascii="Times New Roman" w:eastAsia="Calibri" w:hAnsi="Times New Roman" w:cs="Times New Roman"/>
          <w:lang w:val="en"/>
        </w:rPr>
        <w:t xml:space="preserve"> email servers and firewall logs. </w:t>
      </w:r>
      <w:r w:rsidR="001C7AFA">
        <w:rPr>
          <w:rFonts w:ascii="Times New Roman" w:eastAsia="Calibri" w:hAnsi="Times New Roman" w:cs="Times New Roman"/>
          <w:lang w:val="en"/>
        </w:rPr>
        <w:t>Following</w:t>
      </w:r>
      <w:r>
        <w:rPr>
          <w:rFonts w:ascii="Times New Roman" w:eastAsia="Calibri" w:hAnsi="Times New Roman" w:cs="Times New Roman"/>
          <w:lang w:val="en"/>
        </w:rPr>
        <w:t xml:space="preserve"> the </w:t>
      </w:r>
      <w:r w:rsidR="001C7AFA">
        <w:rPr>
          <w:rFonts w:ascii="Times New Roman" w:eastAsia="Calibri" w:hAnsi="Times New Roman" w:cs="Times New Roman"/>
          <w:lang w:val="en"/>
        </w:rPr>
        <w:t>incident</w:t>
      </w:r>
      <w:r>
        <w:rPr>
          <w:rFonts w:ascii="Times New Roman" w:eastAsia="Calibri" w:hAnsi="Times New Roman" w:cs="Times New Roman"/>
          <w:lang w:val="en"/>
        </w:rPr>
        <w:t xml:space="preserve">, the bank implemented a </w:t>
      </w:r>
      <w:r w:rsidR="001C7AFA">
        <w:rPr>
          <w:rFonts w:ascii="Times New Roman" w:eastAsia="Calibri" w:hAnsi="Times New Roman" w:cs="Times New Roman"/>
          <w:lang w:val="en"/>
        </w:rPr>
        <w:t>detection</w:t>
      </w:r>
      <w:r>
        <w:rPr>
          <w:rFonts w:ascii="Times New Roman" w:eastAsia="Calibri" w:hAnsi="Times New Roman" w:cs="Times New Roman"/>
          <w:lang w:val="en"/>
        </w:rPr>
        <w:t xml:space="preserve"> </w:t>
      </w:r>
      <w:r w:rsidR="001C7AFA">
        <w:rPr>
          <w:rFonts w:ascii="Times New Roman" w:eastAsia="Calibri" w:hAnsi="Times New Roman" w:cs="Times New Roman"/>
          <w:lang w:val="en"/>
        </w:rPr>
        <w:t>framework using SIEM tools, IDS, and endpoint monitoring</w:t>
      </w:r>
      <w:r w:rsidR="007361CA">
        <w:rPr>
          <w:rFonts w:ascii="Times New Roman" w:eastAsia="Calibri" w:hAnsi="Times New Roman" w:cs="Times New Roman"/>
          <w:lang w:val="en"/>
        </w:rPr>
        <w:t xml:space="preserve"> (Valdez, 2025). </w:t>
      </w:r>
      <w:r w:rsidR="001C7AFA">
        <w:rPr>
          <w:rFonts w:ascii="Times New Roman" w:eastAsia="Calibri" w:hAnsi="Times New Roman" w:cs="Times New Roman"/>
          <w:lang w:val="en"/>
        </w:rPr>
        <w:t xml:space="preserve">These tools will allow the bank to continuously track and correlate system behavior, isolate threats and ensure rapid response (Goss, 2025). </w:t>
      </w:r>
    </w:p>
    <w:p w14:paraId="2FC04F05" w14:textId="78102D6C" w:rsidR="001C7AFA" w:rsidRPr="001C7AFA" w:rsidRDefault="001C7AFA" w:rsidP="001C7AFA">
      <w:pPr>
        <w:rPr>
          <w:rFonts w:ascii="Times New Roman" w:hAnsi="Times New Roman" w:cs="Times New Roman"/>
          <w:b/>
          <w:bCs/>
        </w:rPr>
      </w:pPr>
      <w:r w:rsidRPr="001C7AFA">
        <w:rPr>
          <w:rFonts w:ascii="Times New Roman" w:hAnsi="Times New Roman" w:cs="Times New Roman"/>
          <w:b/>
          <w:bCs/>
        </w:rPr>
        <w:t>Objective</w:t>
      </w:r>
    </w:p>
    <w:p w14:paraId="7FA43EB7" w14:textId="0D0B882C" w:rsidR="001C7AFA" w:rsidRDefault="001C7AFA" w:rsidP="001C7AFA">
      <w:pPr>
        <w:spacing w:line="480" w:lineRule="auto"/>
        <w:ind w:firstLine="720"/>
        <w:rPr>
          <w:rFonts w:ascii="Times New Roman" w:hAnsi="Times New Roman" w:cs="Times New Roman"/>
        </w:rPr>
      </w:pPr>
      <w:r>
        <w:rPr>
          <w:rFonts w:ascii="Times New Roman" w:hAnsi="Times New Roman" w:cs="Times New Roman"/>
        </w:rPr>
        <w:lastRenderedPageBreak/>
        <w:t>Finger Lakes Community Bank suffered a cyber-attack by an activist group known as the “People’s Brigade for Web Justice.  The attack included website defacement and performed a DDoS attack attempt, and a deployment of a RAT attack via a phishing email. This led to an unauthorized funds transfer attempt. The table listed below outlines the full attack flow and the countermeasures that are necessary to detect, contain, and mitigate future incidents</w:t>
      </w:r>
      <w:r w:rsidR="007361CA">
        <w:rPr>
          <w:rFonts w:ascii="Times New Roman" w:hAnsi="Times New Roman" w:cs="Times New Roman"/>
        </w:rPr>
        <w:t xml:space="preserve"> </w:t>
      </w:r>
      <w:proofErr w:type="gramStart"/>
      <w:r w:rsidR="007361CA">
        <w:rPr>
          <w:rFonts w:ascii="Times New Roman" w:hAnsi="Times New Roman" w:cs="Times New Roman"/>
        </w:rPr>
        <w:t>( Valdez</w:t>
      </w:r>
      <w:proofErr w:type="gramEnd"/>
      <w:r w:rsidR="007361CA">
        <w:rPr>
          <w:rFonts w:ascii="Times New Roman" w:hAnsi="Times New Roman" w:cs="Times New Roman"/>
        </w:rPr>
        <w:t>, 2025).</w:t>
      </w:r>
    </w:p>
    <w:p w14:paraId="48720138" w14:textId="6DF7927D" w:rsidR="001C7AFA" w:rsidRPr="0052171A" w:rsidRDefault="001C7AFA" w:rsidP="001C7AFA">
      <w:pPr>
        <w:spacing w:line="480" w:lineRule="auto"/>
        <w:rPr>
          <w:rFonts w:ascii="Times New Roman" w:hAnsi="Times New Roman" w:cs="Times New Roman"/>
        </w:rPr>
      </w:pPr>
      <w:r>
        <w:rPr>
          <w:rFonts w:ascii="Times New Roman" w:hAnsi="Times New Roman" w:cs="Times New Roman"/>
          <w:noProof/>
        </w:rPr>
        <w:drawing>
          <wp:inline distT="0" distB="0" distL="0" distR="0" wp14:anchorId="4DBBC024" wp14:editId="085BC0A9">
            <wp:extent cx="5943600" cy="3939540"/>
            <wp:effectExtent l="0" t="0" r="0" b="0"/>
            <wp:docPr id="1529893353"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3353" name="Picture 1" descr="A table with text on 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939540"/>
                    </a:xfrm>
                    <a:prstGeom prst="rect">
                      <a:avLst/>
                    </a:prstGeom>
                  </pic:spPr>
                </pic:pic>
              </a:graphicData>
            </a:graphic>
          </wp:inline>
        </w:drawing>
      </w:r>
    </w:p>
    <w:p w14:paraId="27B72455" w14:textId="471F92C4" w:rsidR="001C7AFA" w:rsidRDefault="001C7AFA" w:rsidP="001C7AFA">
      <w:pPr>
        <w:spacing w:after="0" w:line="240" w:lineRule="auto"/>
        <w:contextualSpacing/>
        <w:rPr>
          <w:rFonts w:ascii="Times New Roman" w:eastAsia="Calibri" w:hAnsi="Times New Roman" w:cs="Times New Roman"/>
          <w:lang w:val="en"/>
        </w:rPr>
      </w:pPr>
      <w:r>
        <w:rPr>
          <w:rFonts w:ascii="Times New Roman" w:eastAsia="Calibri" w:hAnsi="Times New Roman" w:cs="Times New Roman"/>
          <w:noProof/>
          <w:lang w:val="en"/>
        </w:rPr>
        <w:drawing>
          <wp:inline distT="0" distB="0" distL="0" distR="0" wp14:anchorId="214E5062" wp14:editId="7D3EFE5A">
            <wp:extent cx="5943600" cy="1644015"/>
            <wp:effectExtent l="0" t="0" r="0" b="0"/>
            <wp:docPr id="1170600990" name="Picture 2" descr="A white rectangular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0990" name="Picture 2" descr="A white rectangular box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1644015"/>
                    </a:xfrm>
                    <a:prstGeom prst="rect">
                      <a:avLst/>
                    </a:prstGeom>
                  </pic:spPr>
                </pic:pic>
              </a:graphicData>
            </a:graphic>
          </wp:inline>
        </w:drawing>
      </w:r>
    </w:p>
    <w:p w14:paraId="31703A67" w14:textId="77777777" w:rsidR="001C7AFA" w:rsidRPr="0052171A" w:rsidRDefault="001C7AFA" w:rsidP="001C7AFA">
      <w:pPr>
        <w:rPr>
          <w:rFonts w:ascii="Times New Roman" w:hAnsi="Times New Roman" w:cs="Times New Roman"/>
          <w:b/>
          <w:bCs/>
        </w:rPr>
      </w:pPr>
      <w:r w:rsidRPr="0052171A">
        <w:rPr>
          <w:rFonts w:ascii="Times New Roman" w:hAnsi="Times New Roman" w:cs="Times New Roman"/>
          <w:b/>
          <w:bCs/>
        </w:rPr>
        <w:lastRenderedPageBreak/>
        <w:t>Lesson Learned</w:t>
      </w:r>
    </w:p>
    <w:p w14:paraId="179336A1" w14:textId="7A7E080F" w:rsidR="001C7AFA" w:rsidRDefault="001C7AFA" w:rsidP="001C7AFA">
      <w:pPr>
        <w:spacing w:line="480" w:lineRule="auto"/>
        <w:ind w:firstLine="720"/>
        <w:rPr>
          <w:rFonts w:ascii="Times New Roman" w:hAnsi="Times New Roman" w:cs="Times New Roman"/>
        </w:rPr>
      </w:pPr>
      <w:r>
        <w:rPr>
          <w:rFonts w:ascii="Times New Roman" w:hAnsi="Times New Roman" w:cs="Times New Roman"/>
        </w:rPr>
        <w:t xml:space="preserve">The attack revealed several critical vulnerabilities in the Finger Lake Community Bank’s cybersecurity infrastructure. The lack of a continuous monitoring allowed the attacker to probe and exploit weaknesses therefore being able to go undetected over multiple days (Goss, 2025). Proactive vulnerability assessments are an essential step in providing real time anomaly detection to reduce attack surface exposure. Next a phishing email exposed a human error due to limited awareness training and employee email filters. Employee training and education along with phishing simulation tests is essential in mitigating threats in the future (Warner, 2023). The unauthorized internal funds transferred exploited a lack in financial, and escalation </w:t>
      </w:r>
      <w:proofErr w:type="gramStart"/>
      <w:r>
        <w:rPr>
          <w:rFonts w:ascii="Times New Roman" w:hAnsi="Times New Roman" w:cs="Times New Roman"/>
        </w:rPr>
        <w:t>controls</w:t>
      </w:r>
      <w:r w:rsidR="007361CA">
        <w:rPr>
          <w:rFonts w:ascii="Times New Roman" w:hAnsi="Times New Roman" w:cs="Times New Roman"/>
        </w:rPr>
        <w:t>( Valdez</w:t>
      </w:r>
      <w:proofErr w:type="gramEnd"/>
      <w:r w:rsidR="007361CA">
        <w:rPr>
          <w:rFonts w:ascii="Times New Roman" w:hAnsi="Times New Roman" w:cs="Times New Roman"/>
        </w:rPr>
        <w:t xml:space="preserve">, 2025). </w:t>
      </w:r>
      <w:r>
        <w:rPr>
          <w:rFonts w:ascii="Times New Roman" w:hAnsi="Times New Roman" w:cs="Times New Roman"/>
        </w:rPr>
        <w:t xml:space="preserve"> To mitigate future incidents, executives should require MFA before approving high risk transactions (Goss, 2025). The attack also emphasized the need for log correlation and automated response tools such as SIEM systems. This will allow for faster identification and containment of intrusions (Warner, 2023). Lastly, due to the banks absence of external audits and cyber policies, it allowed the bank to be exposed. Annual policy awareness and compliance improvement will mitigate any further vulnerabilities in the future (Goss, 2025).</w:t>
      </w:r>
    </w:p>
    <w:p w14:paraId="25983FFF" w14:textId="77777777" w:rsidR="00AE1C1F" w:rsidRPr="009F0B38" w:rsidRDefault="00AE1C1F" w:rsidP="00AE1C1F">
      <w:pPr>
        <w:rPr>
          <w:rFonts w:ascii="Times New Roman" w:hAnsi="Times New Roman" w:cs="Times New Roman"/>
          <w:b/>
          <w:bCs/>
        </w:rPr>
      </w:pPr>
      <w:r w:rsidRPr="009F0B38">
        <w:rPr>
          <w:rFonts w:ascii="Times New Roman" w:hAnsi="Times New Roman" w:cs="Times New Roman"/>
          <w:b/>
          <w:bCs/>
        </w:rPr>
        <w:t>Countermeasures Analysis</w:t>
      </w:r>
    </w:p>
    <w:p w14:paraId="4D630B7E" w14:textId="5F3C900A" w:rsidR="00AE1C1F" w:rsidRPr="00AE1C1F" w:rsidRDefault="00AE1C1F" w:rsidP="00AE1C1F">
      <w:pPr>
        <w:spacing w:line="480" w:lineRule="auto"/>
        <w:ind w:firstLine="720"/>
        <w:rPr>
          <w:rFonts w:ascii="Times New Roman" w:hAnsi="Times New Roman" w:cs="Times New Roman"/>
        </w:rPr>
      </w:pPr>
      <w:r w:rsidRPr="00640516">
        <w:rPr>
          <w:rFonts w:ascii="Times New Roman" w:hAnsi="Times New Roman" w:cs="Times New Roman"/>
        </w:rPr>
        <w:t>The course of action table was developed by analyzing the attack that impacted Finger Lakes Community Banks. The attackers used multiple methods including DDoS attempts, phishing and remote access trojan development to gain access to the system to perform an authorized funds transfer attempt</w:t>
      </w:r>
      <w:r w:rsidR="007361CA">
        <w:rPr>
          <w:rFonts w:ascii="Times New Roman" w:hAnsi="Times New Roman" w:cs="Times New Roman"/>
        </w:rPr>
        <w:t xml:space="preserve"> (Valdez, 2025). </w:t>
      </w:r>
      <w:r w:rsidRPr="00640516">
        <w:rPr>
          <w:rFonts w:ascii="Times New Roman" w:hAnsi="Times New Roman" w:cs="Times New Roman"/>
        </w:rPr>
        <w:t xml:space="preserve">To interrupt the attackers progress, there were specific countermeasures that were selected </w:t>
      </w:r>
      <w:r>
        <w:rPr>
          <w:rFonts w:ascii="Times New Roman" w:hAnsi="Times New Roman" w:cs="Times New Roman"/>
        </w:rPr>
        <w:t>that emphasized on proactive detection, containment, and mitigation strategies (Goss,2025).</w:t>
      </w:r>
    </w:p>
    <w:p w14:paraId="779DA01A" w14:textId="4742166C" w:rsidR="00AE1C1F" w:rsidRPr="009F0B38" w:rsidRDefault="00AE1C1F" w:rsidP="00AE1C1F">
      <w:pPr>
        <w:spacing w:line="480" w:lineRule="auto"/>
        <w:rPr>
          <w:rFonts w:ascii="Times New Roman" w:hAnsi="Times New Roman" w:cs="Times New Roman"/>
          <w:b/>
          <w:bCs/>
        </w:rPr>
      </w:pPr>
      <w:r w:rsidRPr="009F0B38">
        <w:rPr>
          <w:rFonts w:ascii="Times New Roman" w:hAnsi="Times New Roman" w:cs="Times New Roman"/>
          <w:b/>
          <w:bCs/>
        </w:rPr>
        <w:t xml:space="preserve">Impact on systems </w:t>
      </w:r>
    </w:p>
    <w:p w14:paraId="68847F2C" w14:textId="2A5B581B" w:rsidR="00AE1C1F" w:rsidRDefault="00AE1C1F" w:rsidP="00AE1C1F">
      <w:pPr>
        <w:spacing w:line="480" w:lineRule="auto"/>
        <w:ind w:firstLine="720"/>
        <w:rPr>
          <w:rFonts w:ascii="Times New Roman" w:hAnsi="Times New Roman" w:cs="Times New Roman"/>
        </w:rPr>
      </w:pPr>
      <w:r>
        <w:rPr>
          <w:rFonts w:ascii="Times New Roman" w:hAnsi="Times New Roman" w:cs="Times New Roman"/>
        </w:rPr>
        <w:lastRenderedPageBreak/>
        <w:t xml:space="preserve">Security measures such as firewalls, IDS/IPS and EDR solutions were used to strength the banks technology systems. These systems watch for anomalies and unusual traffic patterns that would indicate an attack for containment. The systems also look for vulnerabilities such as open ports or other ways an attacker can sneak into the network. If there is a spike in unusual activity or anomalies, the firewall can block the connection and alert security personnel for rapid response (Warner, 2023). Endpoint detection and response tools are critical as they monitor employee’s computer for unusual behavior. Additionally, tools like SIEM platforms can help retrieve data from different sources like firewall logs, and antivirus alerts to detect patterns that would suggest the network is under attack. All levels of protection would work in connection with each other to ensure the safety and protection of the banks network and its data from being compromised (Goss, 2025). </w:t>
      </w:r>
    </w:p>
    <w:p w14:paraId="3E0FB45E" w14:textId="77777777" w:rsidR="00AE1C1F" w:rsidRPr="009F0B38" w:rsidRDefault="00AE1C1F" w:rsidP="00AE1C1F">
      <w:pPr>
        <w:spacing w:line="480" w:lineRule="auto"/>
        <w:rPr>
          <w:rFonts w:ascii="Times New Roman" w:hAnsi="Times New Roman" w:cs="Times New Roman"/>
          <w:b/>
          <w:bCs/>
        </w:rPr>
      </w:pPr>
      <w:r w:rsidRPr="009F0B38">
        <w:rPr>
          <w:rFonts w:ascii="Times New Roman" w:hAnsi="Times New Roman" w:cs="Times New Roman"/>
          <w:b/>
          <w:bCs/>
        </w:rPr>
        <w:t>Impact of Operations</w:t>
      </w:r>
    </w:p>
    <w:p w14:paraId="7B875DE0" w14:textId="77777777" w:rsidR="00AE1C1F" w:rsidRDefault="00AE1C1F" w:rsidP="00AE1C1F">
      <w:pPr>
        <w:spacing w:line="480" w:lineRule="auto"/>
        <w:ind w:firstLine="720"/>
        <w:rPr>
          <w:rFonts w:ascii="Times New Roman" w:hAnsi="Times New Roman" w:cs="Times New Roman"/>
        </w:rPr>
      </w:pPr>
      <w:r>
        <w:rPr>
          <w:rFonts w:ascii="Times New Roman" w:hAnsi="Times New Roman" w:cs="Times New Roman"/>
        </w:rPr>
        <w:t xml:space="preserve">Cyber-attacks not only have an impact on the network systems, but they also have an impact on the businesses operations. For Finger Lakes Community Bank, phishing emails and unauthorized wire transfers are huge risks to the organization’s operations. To mitigate risks, it is critical that email security tools are implemented and up to date.  The emails should contain filters that would help block suspicious emails before they reach inboxes filtering them to the trash or areas that they would not pose risks to the network’s security. The email should also contain sandboxes that will test links and attachments to ensure their safety. In addition to better technology, the bank should also implement additional layers such as MFA tools for approval for high-risk transactions like transferring money. </w:t>
      </w:r>
    </w:p>
    <w:p w14:paraId="13295184" w14:textId="77777777" w:rsidR="00AE1C1F" w:rsidRDefault="00AE1C1F" w:rsidP="00AE1C1F">
      <w:pPr>
        <w:spacing w:line="480" w:lineRule="auto"/>
        <w:ind w:firstLine="720"/>
        <w:rPr>
          <w:rFonts w:ascii="Times New Roman" w:hAnsi="Times New Roman" w:cs="Times New Roman"/>
        </w:rPr>
      </w:pPr>
      <w:r>
        <w:rPr>
          <w:rFonts w:ascii="Times New Roman" w:hAnsi="Times New Roman" w:cs="Times New Roman"/>
        </w:rPr>
        <w:lastRenderedPageBreak/>
        <w:t>Specific examples would include if a request for the transfer of funds, instead of just clicking approve, the executive would have to verify their identity using MFA. These steps can ensure that any unauthorized attempts would be blocked such as a cybercriminal pretending to be someone they’re not. It would also be useful to use automated tools to flag abnormal transactions such as money being sent outside normal business hours or to unusual accounts. These countermeasures will ensure that the bank is running efficiently even when facing a current threat. (Goss, 2025).</w:t>
      </w:r>
    </w:p>
    <w:p w14:paraId="3328E13D" w14:textId="77777777" w:rsidR="00AE1C1F" w:rsidRPr="009F0B38" w:rsidRDefault="00AE1C1F" w:rsidP="00AE1C1F">
      <w:pPr>
        <w:spacing w:line="480" w:lineRule="auto"/>
        <w:rPr>
          <w:rFonts w:ascii="Times New Roman" w:hAnsi="Times New Roman" w:cs="Times New Roman"/>
          <w:b/>
          <w:bCs/>
        </w:rPr>
      </w:pPr>
      <w:r w:rsidRPr="009F0B38">
        <w:rPr>
          <w:rFonts w:ascii="Times New Roman" w:hAnsi="Times New Roman" w:cs="Times New Roman"/>
          <w:b/>
          <w:bCs/>
        </w:rPr>
        <w:t>Impact on Personnel</w:t>
      </w:r>
    </w:p>
    <w:p w14:paraId="45810DD2" w14:textId="2F7837C6" w:rsidR="001C7AFA" w:rsidRDefault="00AE1C1F" w:rsidP="00AE1C1F">
      <w:pPr>
        <w:spacing w:line="480" w:lineRule="auto"/>
        <w:ind w:firstLine="720"/>
        <w:rPr>
          <w:rFonts w:ascii="Times New Roman" w:hAnsi="Times New Roman" w:cs="Times New Roman"/>
        </w:rPr>
      </w:pPr>
      <w:r>
        <w:rPr>
          <w:rFonts w:ascii="Times New Roman" w:hAnsi="Times New Roman" w:cs="Times New Roman"/>
        </w:rPr>
        <w:t>In cyber-attacks systems, and operations are not the only risks. User error can cause vulnerabilities to an organizations network as well. This can be due to a lack of employee awareness and training. In this specific case, a phishing email led to the attack of the organizations system and allowed malware to be installed on a computer. These acts exposed the network for further and deeper attacks.  To prevent this from happening in the future, the organization should implement quarterly training to employees and send out phishing simulation tests that will teach employees how to recognize and report suspicious emails or links. Simulated phishing tests are emails where fake phishing emails are sent to see how employees respond. Lastly, having an incident response plan will help ensure that if a cyber incident were to occur, employees are aware of who to contact, what steps to take, and how to report the incident</w:t>
      </w:r>
      <w:r w:rsidR="007361CA">
        <w:rPr>
          <w:rFonts w:ascii="Times New Roman" w:hAnsi="Times New Roman" w:cs="Times New Roman"/>
        </w:rPr>
        <w:t xml:space="preserve"> (Valdez, 2025). </w:t>
      </w:r>
      <w:r>
        <w:rPr>
          <w:rFonts w:ascii="Times New Roman" w:hAnsi="Times New Roman" w:cs="Times New Roman"/>
        </w:rPr>
        <w:t xml:space="preserve">These steps will mitigate security risks to the organization and help build a confident security team.  </w:t>
      </w:r>
    </w:p>
    <w:p w14:paraId="299E9A60" w14:textId="77777777" w:rsidR="007C2599" w:rsidRDefault="007C2599" w:rsidP="00AE1C1F">
      <w:pPr>
        <w:jc w:val="center"/>
        <w:rPr>
          <w:rFonts w:ascii="Times New Roman" w:hAnsi="Times New Roman" w:cs="Times New Roman"/>
        </w:rPr>
      </w:pPr>
    </w:p>
    <w:p w14:paraId="26F21966" w14:textId="77777777" w:rsidR="007C2599" w:rsidRDefault="007C2599" w:rsidP="00AE1C1F">
      <w:pPr>
        <w:jc w:val="center"/>
        <w:rPr>
          <w:rFonts w:ascii="Times New Roman" w:hAnsi="Times New Roman" w:cs="Times New Roman"/>
        </w:rPr>
      </w:pPr>
    </w:p>
    <w:p w14:paraId="1890E2C8" w14:textId="77777777" w:rsidR="007C2599" w:rsidRDefault="007C2599" w:rsidP="00AE1C1F">
      <w:pPr>
        <w:jc w:val="center"/>
        <w:rPr>
          <w:rFonts w:ascii="Times New Roman" w:hAnsi="Times New Roman" w:cs="Times New Roman"/>
        </w:rPr>
      </w:pPr>
    </w:p>
    <w:p w14:paraId="05A36EE5" w14:textId="30C5350C" w:rsidR="001C7AFA" w:rsidRDefault="00AE1C1F" w:rsidP="00AE1C1F">
      <w:pPr>
        <w:jc w:val="center"/>
        <w:rPr>
          <w:rFonts w:ascii="Times New Roman" w:hAnsi="Times New Roman" w:cs="Times New Roman"/>
        </w:rPr>
      </w:pPr>
      <w:r>
        <w:rPr>
          <w:rFonts w:ascii="Times New Roman" w:hAnsi="Times New Roman" w:cs="Times New Roman"/>
        </w:rPr>
        <w:lastRenderedPageBreak/>
        <w:t>References</w:t>
      </w:r>
    </w:p>
    <w:p w14:paraId="1D9D484E" w14:textId="36F25536" w:rsidR="00AE1C1F" w:rsidRPr="00605E94" w:rsidRDefault="00AE1C1F" w:rsidP="00AE1C1F">
      <w:pPr>
        <w:pStyle w:val="NoSpacing"/>
        <w:spacing w:line="480" w:lineRule="auto"/>
        <w:ind w:left="720" w:hanging="720"/>
        <w:rPr>
          <w:rFonts w:ascii="Times New Roman" w:eastAsiaTheme="minorHAnsi" w:hAnsi="Times New Roman" w:cs="Times New Roman"/>
        </w:rPr>
      </w:pPr>
      <w:r w:rsidRPr="00605E94">
        <w:rPr>
          <w:rFonts w:ascii="Times New Roman" w:eastAsiaTheme="minorHAnsi" w:hAnsi="Times New Roman" w:cs="Times New Roman"/>
        </w:rPr>
        <w:t>Brook, C. (2024, December 19). </w:t>
      </w:r>
      <w:r w:rsidRPr="00605E94">
        <w:rPr>
          <w:rFonts w:ascii="Times New Roman" w:eastAsiaTheme="minorHAnsi" w:hAnsi="Times New Roman" w:cs="Times New Roman"/>
          <w:i/>
          <w:iCs/>
        </w:rPr>
        <w:t>What is an incident response plan (IRP</w:t>
      </w:r>
      <w:proofErr w:type="gramStart"/>
      <w:r w:rsidRPr="00605E94">
        <w:rPr>
          <w:rFonts w:ascii="Times New Roman" w:eastAsiaTheme="minorHAnsi" w:hAnsi="Times New Roman" w:cs="Times New Roman"/>
          <w:i/>
          <w:iCs/>
        </w:rPr>
        <w:t>)?</w:t>
      </w:r>
      <w:r w:rsidRPr="00605E94">
        <w:rPr>
          <w:rFonts w:ascii="Times New Roman" w:eastAsiaTheme="minorHAnsi" w:hAnsi="Times New Roman" w:cs="Times New Roman"/>
        </w:rPr>
        <w:t>.</w:t>
      </w:r>
      <w:proofErr w:type="gramEnd"/>
      <w:r w:rsidRPr="00605E94">
        <w:rPr>
          <w:rFonts w:ascii="Times New Roman" w:eastAsiaTheme="minorHAnsi" w:hAnsi="Times New Roman" w:cs="Times New Roman"/>
        </w:rPr>
        <w:t xml:space="preserve"> </w:t>
      </w:r>
      <w:proofErr w:type="spellStart"/>
      <w:r w:rsidRPr="00605E94">
        <w:rPr>
          <w:rFonts w:ascii="Times New Roman" w:eastAsiaTheme="minorHAnsi" w:hAnsi="Times New Roman" w:cs="Times New Roman"/>
        </w:rPr>
        <w:t>Fortra’s</w:t>
      </w:r>
      <w:proofErr w:type="spellEnd"/>
      <w:r w:rsidRPr="00605E94">
        <w:rPr>
          <w:rFonts w:ascii="Times New Roman" w:eastAsiaTheme="minorHAnsi" w:hAnsi="Times New Roman" w:cs="Times New Roman"/>
        </w:rPr>
        <w:t xml:space="preserve"> Digital Guardian. https://www.digitalguardian.com/blog/what-incident-response-plan-irp </w:t>
      </w:r>
    </w:p>
    <w:p w14:paraId="5DE3BBAE" w14:textId="1E462480" w:rsidR="00AE1C1F" w:rsidRPr="00605E94" w:rsidRDefault="00AE1C1F" w:rsidP="00AE1C1F">
      <w:pPr>
        <w:pStyle w:val="NoSpacing"/>
        <w:spacing w:line="480" w:lineRule="auto"/>
        <w:ind w:left="720" w:hanging="720"/>
        <w:rPr>
          <w:rFonts w:ascii="Times New Roman" w:eastAsiaTheme="minorHAnsi" w:hAnsi="Times New Roman" w:cs="Times New Roman"/>
        </w:rPr>
      </w:pPr>
      <w:r w:rsidRPr="00605E94">
        <w:rPr>
          <w:rFonts w:ascii="Times New Roman" w:eastAsiaTheme="minorHAnsi" w:hAnsi="Times New Roman" w:cs="Times New Roman"/>
        </w:rPr>
        <w:t>Cranford, J. (2023, July 6). </w:t>
      </w:r>
      <w:r w:rsidRPr="00605E94">
        <w:rPr>
          <w:rFonts w:ascii="Times New Roman" w:eastAsiaTheme="minorHAnsi" w:hAnsi="Times New Roman" w:cs="Times New Roman"/>
          <w:i/>
          <w:iCs/>
        </w:rPr>
        <w:t>Incident response plan: Frameworks and steps</w:t>
      </w:r>
      <w:r w:rsidRPr="00605E94">
        <w:rPr>
          <w:rFonts w:ascii="Times New Roman" w:eastAsiaTheme="minorHAnsi" w:hAnsi="Times New Roman" w:cs="Times New Roman"/>
        </w:rPr>
        <w:t>. CrowdStrike. https://www.crowdstrike.com/en-us/cybersecurity-101/incident-response/incident-response-steps/ </w:t>
      </w:r>
    </w:p>
    <w:p w14:paraId="613E446E" w14:textId="50333297" w:rsidR="00AE1C1F" w:rsidRPr="00605E94" w:rsidRDefault="00AE1C1F" w:rsidP="00AE1C1F">
      <w:pPr>
        <w:pStyle w:val="NoSpacing"/>
        <w:spacing w:line="480" w:lineRule="auto"/>
        <w:ind w:left="720" w:hanging="720"/>
        <w:rPr>
          <w:rFonts w:ascii="Times New Roman" w:eastAsiaTheme="minorHAnsi" w:hAnsi="Times New Roman" w:cs="Times New Roman"/>
        </w:rPr>
      </w:pPr>
      <w:r w:rsidRPr="00605E94">
        <w:rPr>
          <w:rFonts w:ascii="Times New Roman" w:eastAsiaTheme="minorHAnsi" w:hAnsi="Times New Roman" w:cs="Times New Roman"/>
        </w:rPr>
        <w:t xml:space="preserve">Goss, A. (2025, January 10). </w:t>
      </w:r>
      <w:r w:rsidRPr="00605E94">
        <w:rPr>
          <w:rFonts w:ascii="Times New Roman" w:eastAsiaTheme="minorHAnsi" w:hAnsi="Times New Roman" w:cs="Times New Roman"/>
          <w:i/>
          <w:iCs/>
        </w:rPr>
        <w:t>Unraveling the courses of action matrix: Full guide to COA</w:t>
      </w:r>
      <w:r w:rsidRPr="00605E94">
        <w:rPr>
          <w:rFonts w:ascii="Times New Roman" w:eastAsiaTheme="minorHAnsi" w:hAnsi="Times New Roman" w:cs="Times New Roman"/>
        </w:rPr>
        <w:t>. Kraven Security. https://kravensecurity.com/the-courses-of-action-matrix/</w:t>
      </w:r>
    </w:p>
    <w:p w14:paraId="2D73B7CF" w14:textId="1B20C290" w:rsidR="00605E94" w:rsidRPr="00605E94" w:rsidRDefault="00AE1C1F" w:rsidP="00605E94">
      <w:pPr>
        <w:pStyle w:val="NoSpacing"/>
        <w:spacing w:line="480" w:lineRule="auto"/>
        <w:ind w:left="720" w:hanging="720"/>
        <w:rPr>
          <w:rFonts w:ascii="Times New Roman" w:eastAsiaTheme="minorHAnsi" w:hAnsi="Times New Roman" w:cs="Times New Roman"/>
        </w:rPr>
      </w:pPr>
      <w:r w:rsidRPr="00605E94">
        <w:rPr>
          <w:rFonts w:ascii="Times New Roman" w:eastAsiaTheme="minorHAnsi" w:hAnsi="Times New Roman" w:cs="Times New Roman"/>
        </w:rPr>
        <w:t xml:space="preserve">Warner, C. (2023, December 11). </w:t>
      </w:r>
      <w:r w:rsidRPr="00605E94">
        <w:rPr>
          <w:rFonts w:ascii="Times New Roman" w:eastAsiaTheme="minorHAnsi" w:hAnsi="Times New Roman" w:cs="Times New Roman"/>
          <w:i/>
          <w:iCs/>
        </w:rPr>
        <w:t>Courses of action matrix in cyber threat intelligence</w:t>
      </w:r>
      <w:r w:rsidRPr="00605E94">
        <w:rPr>
          <w:rFonts w:ascii="Times New Roman" w:eastAsiaTheme="minorHAnsi" w:hAnsi="Times New Roman" w:cs="Times New Roman"/>
        </w:rPr>
        <w:t xml:space="preserve">. Medium. </w:t>
      </w:r>
      <w:r w:rsidR="00201933" w:rsidRPr="00605E94">
        <w:rPr>
          <w:rFonts w:ascii="Times New Roman" w:eastAsiaTheme="minorHAnsi" w:hAnsi="Times New Roman" w:cs="Times New Roman"/>
        </w:rPr>
        <w:t>https://warnerchad.medium.com/courses-of-action-matrix-in-cyber-threat-intelligence-82bf49243e46</w:t>
      </w:r>
    </w:p>
    <w:p w14:paraId="5574AFD0" w14:textId="77777777" w:rsidR="00605E94" w:rsidRPr="00605E94" w:rsidRDefault="00605E94" w:rsidP="00605E94">
      <w:pPr>
        <w:autoSpaceDE w:val="0"/>
        <w:autoSpaceDN w:val="0"/>
        <w:adjustRightInd w:val="0"/>
        <w:spacing w:after="0" w:line="480" w:lineRule="auto"/>
        <w:ind w:left="720" w:hanging="720"/>
        <w:rPr>
          <w:rFonts w:ascii="Times New Roman" w:eastAsiaTheme="minorHAnsi" w:hAnsi="Times New Roman" w:cs="Times New Roman"/>
          <w:kern w:val="0"/>
        </w:rPr>
      </w:pPr>
      <w:r w:rsidRPr="00605E94">
        <w:rPr>
          <w:rFonts w:ascii="Times New Roman" w:eastAsiaTheme="minorHAnsi" w:hAnsi="Times New Roman" w:cs="Times New Roman"/>
          <w:kern w:val="0"/>
        </w:rPr>
        <w:t xml:space="preserve">Valdez, A. (2025, April 12). </w:t>
      </w:r>
      <w:r w:rsidRPr="00605E94">
        <w:rPr>
          <w:rFonts w:ascii="Times New Roman" w:eastAsiaTheme="minorHAnsi" w:hAnsi="Times New Roman" w:cs="Times New Roman"/>
          <w:i/>
          <w:iCs/>
          <w:kern w:val="0"/>
        </w:rPr>
        <w:t>Milestone One: Incident Response Process Diagram</w:t>
      </w:r>
      <w:r w:rsidRPr="00605E94">
        <w:rPr>
          <w:rFonts w:ascii="Times New Roman" w:eastAsiaTheme="minorHAnsi" w:hAnsi="Times New Roman" w:cs="Times New Roman"/>
          <w:kern w:val="0"/>
        </w:rPr>
        <w:t xml:space="preserve"> [Unpublished manuscript]. Southern New Hampshire University.</w:t>
      </w:r>
    </w:p>
    <w:p w14:paraId="65174CED" w14:textId="77777777" w:rsidR="00605E94" w:rsidRDefault="00605E94" w:rsidP="00605E94">
      <w:pPr>
        <w:autoSpaceDE w:val="0"/>
        <w:autoSpaceDN w:val="0"/>
        <w:adjustRightInd w:val="0"/>
        <w:spacing w:after="0" w:line="240" w:lineRule="auto"/>
        <w:rPr>
          <w:rFonts w:ascii="Times New Roman" w:eastAsiaTheme="minorHAnsi" w:hAnsi="Times New Roman" w:cs="Times New Roman"/>
          <w:kern w:val="0"/>
        </w:rPr>
      </w:pPr>
    </w:p>
    <w:p w14:paraId="2D733E8C" w14:textId="5246116C" w:rsidR="00605E94" w:rsidRPr="00605E94" w:rsidRDefault="00605E94" w:rsidP="00605E94">
      <w:pPr>
        <w:autoSpaceDE w:val="0"/>
        <w:autoSpaceDN w:val="0"/>
        <w:adjustRightInd w:val="0"/>
        <w:spacing w:after="0" w:line="240" w:lineRule="auto"/>
        <w:ind w:left="810" w:hanging="810"/>
        <w:rPr>
          <w:rFonts w:ascii="Times New Roman" w:eastAsiaTheme="minorHAnsi" w:hAnsi="Times New Roman" w:cs="Times New Roman"/>
          <w:kern w:val="0"/>
        </w:rPr>
      </w:pPr>
      <w:r w:rsidRPr="00605E94">
        <w:rPr>
          <w:rFonts w:ascii="Times New Roman" w:eastAsiaTheme="minorHAnsi" w:hAnsi="Times New Roman" w:cs="Times New Roman"/>
          <w:kern w:val="0"/>
        </w:rPr>
        <w:t xml:space="preserve">Valdez, A. (2025, May 4). </w:t>
      </w:r>
      <w:r w:rsidRPr="00605E94">
        <w:rPr>
          <w:rFonts w:ascii="Times New Roman" w:eastAsiaTheme="minorHAnsi" w:hAnsi="Times New Roman" w:cs="Times New Roman"/>
          <w:i/>
          <w:iCs/>
          <w:kern w:val="0"/>
        </w:rPr>
        <w:t>Milestone Two: Course of Action Table</w:t>
      </w:r>
      <w:r w:rsidRPr="00605E94">
        <w:rPr>
          <w:rFonts w:ascii="Times New Roman" w:eastAsiaTheme="minorHAnsi" w:hAnsi="Times New Roman" w:cs="Times New Roman"/>
          <w:kern w:val="0"/>
        </w:rPr>
        <w:t xml:space="preserve"> [Unpublished manuscript]. Southern New Hampshire University.</w:t>
      </w:r>
    </w:p>
    <w:p w14:paraId="39335514" w14:textId="77777777" w:rsidR="00605E94" w:rsidRPr="00605E94" w:rsidRDefault="00605E94" w:rsidP="00605E94">
      <w:pPr>
        <w:autoSpaceDE w:val="0"/>
        <w:autoSpaceDN w:val="0"/>
        <w:adjustRightInd w:val="0"/>
        <w:spacing w:after="0" w:line="240" w:lineRule="auto"/>
        <w:rPr>
          <w:rFonts w:ascii="Times New Roman" w:eastAsiaTheme="minorHAnsi" w:hAnsi="Times New Roman" w:cs="Times New Roman"/>
          <w:kern w:val="0"/>
        </w:rPr>
      </w:pPr>
    </w:p>
    <w:p w14:paraId="1B3D7448" w14:textId="608069A2" w:rsidR="00201933" w:rsidRPr="00605E94" w:rsidRDefault="00605E94" w:rsidP="00605E94">
      <w:pPr>
        <w:pStyle w:val="NoSpacing"/>
        <w:spacing w:line="480" w:lineRule="auto"/>
        <w:ind w:left="720" w:hanging="720"/>
        <w:rPr>
          <w:rFonts w:ascii="Times New Roman" w:hAnsi="Times New Roman" w:cs="Times New Roman"/>
          <w:b/>
          <w:bCs/>
        </w:rPr>
      </w:pPr>
      <w:r w:rsidRPr="00605E94">
        <w:rPr>
          <w:rFonts w:ascii="Times New Roman" w:eastAsiaTheme="minorHAnsi" w:hAnsi="Times New Roman" w:cs="Times New Roman"/>
          <w:kern w:val="0"/>
        </w:rPr>
        <w:t xml:space="preserve">Valdez, A. (2025, May 10). </w:t>
      </w:r>
      <w:r w:rsidRPr="00605E94">
        <w:rPr>
          <w:rFonts w:ascii="Times New Roman" w:eastAsiaTheme="minorHAnsi" w:hAnsi="Times New Roman" w:cs="Times New Roman"/>
          <w:i/>
          <w:iCs/>
          <w:kern w:val="0"/>
        </w:rPr>
        <w:t>Milestone Three: Countermeasure Analysis</w:t>
      </w:r>
      <w:r w:rsidRPr="00605E94">
        <w:rPr>
          <w:rFonts w:ascii="Times New Roman" w:eastAsiaTheme="minorHAnsi" w:hAnsi="Times New Roman" w:cs="Times New Roman"/>
          <w:kern w:val="0"/>
        </w:rPr>
        <w:t xml:space="preserve"> [Unpublished manuscript]. Southern New Hampshire University.</w:t>
      </w:r>
    </w:p>
    <w:p w14:paraId="69E207B4" w14:textId="77777777" w:rsidR="001C7AFA" w:rsidRPr="00605E94" w:rsidRDefault="001C7AFA" w:rsidP="00AE1C1F">
      <w:pPr>
        <w:spacing w:line="480" w:lineRule="auto"/>
        <w:rPr>
          <w:rFonts w:ascii="Times New Roman" w:hAnsi="Times New Roman" w:cs="Times New Roman"/>
        </w:rPr>
      </w:pPr>
    </w:p>
    <w:p w14:paraId="1F4E6D4B" w14:textId="77777777" w:rsidR="001C7AFA" w:rsidRDefault="001C7AFA" w:rsidP="001C7AFA">
      <w:pPr>
        <w:rPr>
          <w:rFonts w:ascii="Times New Roman" w:hAnsi="Times New Roman" w:cs="Times New Roman"/>
        </w:rPr>
      </w:pPr>
    </w:p>
    <w:p w14:paraId="3C9C1E71" w14:textId="77777777" w:rsidR="001C7AFA" w:rsidRDefault="001C7AFA" w:rsidP="001C7AFA">
      <w:pPr>
        <w:spacing w:after="0" w:line="240" w:lineRule="auto"/>
        <w:contextualSpacing/>
        <w:rPr>
          <w:rFonts w:ascii="Times New Roman" w:eastAsia="Calibri" w:hAnsi="Times New Roman" w:cs="Times New Roman"/>
          <w:lang w:val="en"/>
        </w:rPr>
      </w:pPr>
    </w:p>
    <w:p w14:paraId="58469B0D" w14:textId="77777777" w:rsidR="001C7AFA" w:rsidRDefault="001C7AFA" w:rsidP="00BE3068">
      <w:pPr>
        <w:spacing w:after="0" w:line="240" w:lineRule="auto"/>
        <w:contextualSpacing/>
        <w:rPr>
          <w:rFonts w:ascii="Times New Roman" w:eastAsia="Calibri" w:hAnsi="Times New Roman" w:cs="Times New Roman"/>
          <w:lang w:val="en"/>
        </w:rPr>
      </w:pPr>
    </w:p>
    <w:p w14:paraId="605FB112" w14:textId="77777777" w:rsidR="00BE3068" w:rsidRDefault="00BE3068" w:rsidP="00BE3068">
      <w:pPr>
        <w:spacing w:after="0" w:line="240" w:lineRule="auto"/>
        <w:contextualSpacing/>
        <w:rPr>
          <w:rFonts w:ascii="Times New Roman" w:eastAsia="Calibri" w:hAnsi="Times New Roman" w:cs="Times New Roman"/>
          <w:lang w:val="en"/>
        </w:rPr>
      </w:pPr>
    </w:p>
    <w:p w14:paraId="5218DB53" w14:textId="77777777" w:rsidR="00BE3068" w:rsidRDefault="00BE3068" w:rsidP="00BE3068">
      <w:pPr>
        <w:spacing w:after="0" w:line="240" w:lineRule="auto"/>
        <w:contextualSpacing/>
        <w:rPr>
          <w:rFonts w:ascii="Times New Roman" w:eastAsia="Calibri" w:hAnsi="Times New Roman" w:cs="Times New Roman"/>
          <w:lang w:val="en"/>
        </w:rPr>
      </w:pPr>
    </w:p>
    <w:p w14:paraId="1EA2EC8D" w14:textId="77777777" w:rsidR="00BE3068" w:rsidRDefault="00BE3068" w:rsidP="00BE3068">
      <w:pPr>
        <w:spacing w:after="0" w:line="240" w:lineRule="auto"/>
        <w:contextualSpacing/>
        <w:rPr>
          <w:rFonts w:ascii="Times New Roman" w:eastAsia="Calibri" w:hAnsi="Times New Roman" w:cs="Times New Roman"/>
          <w:lang w:val="en"/>
        </w:rPr>
      </w:pPr>
    </w:p>
    <w:p w14:paraId="6B599830" w14:textId="77777777" w:rsidR="00BE3068" w:rsidRDefault="00BE3068" w:rsidP="00BE3068">
      <w:pPr>
        <w:spacing w:after="0" w:line="240" w:lineRule="auto"/>
        <w:contextualSpacing/>
        <w:rPr>
          <w:rFonts w:ascii="Times New Roman" w:eastAsia="Calibri" w:hAnsi="Times New Roman" w:cs="Times New Roman"/>
          <w:lang w:val="en"/>
        </w:rPr>
      </w:pPr>
    </w:p>
    <w:p w14:paraId="673067C4" w14:textId="77777777" w:rsidR="00BE3068" w:rsidRDefault="00BE3068" w:rsidP="00BE3068">
      <w:pPr>
        <w:spacing w:after="0" w:line="240" w:lineRule="auto"/>
        <w:contextualSpacing/>
        <w:rPr>
          <w:rFonts w:ascii="Times New Roman" w:eastAsia="Calibri" w:hAnsi="Times New Roman" w:cs="Times New Roman"/>
          <w:lang w:val="en"/>
        </w:rPr>
      </w:pPr>
    </w:p>
    <w:p w14:paraId="4709ADA2" w14:textId="77777777" w:rsidR="00BE3068" w:rsidRDefault="00BE3068" w:rsidP="00BE3068">
      <w:pPr>
        <w:spacing w:after="0" w:line="240" w:lineRule="auto"/>
        <w:contextualSpacing/>
        <w:rPr>
          <w:rFonts w:ascii="Times New Roman" w:eastAsia="Calibri" w:hAnsi="Times New Roman" w:cs="Times New Roman"/>
          <w:lang w:val="en"/>
        </w:rPr>
      </w:pPr>
    </w:p>
    <w:p w14:paraId="5956FB1D" w14:textId="77777777" w:rsidR="00BE3068" w:rsidRDefault="00BE3068" w:rsidP="00BE3068">
      <w:pPr>
        <w:spacing w:after="0" w:line="240" w:lineRule="auto"/>
        <w:contextualSpacing/>
        <w:rPr>
          <w:rFonts w:ascii="Times New Roman" w:eastAsia="Calibri" w:hAnsi="Times New Roman" w:cs="Times New Roman"/>
          <w:lang w:val="en"/>
        </w:rPr>
      </w:pPr>
    </w:p>
    <w:p w14:paraId="78EC6A83" w14:textId="77777777" w:rsidR="00BE3068" w:rsidRDefault="00BE3068" w:rsidP="00BE3068">
      <w:pPr>
        <w:spacing w:after="0" w:line="240" w:lineRule="auto"/>
        <w:contextualSpacing/>
        <w:rPr>
          <w:rFonts w:ascii="Times New Roman" w:eastAsia="Calibri" w:hAnsi="Times New Roman" w:cs="Times New Roman"/>
          <w:lang w:val="en"/>
        </w:rPr>
      </w:pPr>
    </w:p>
    <w:p w14:paraId="20BF21C5" w14:textId="77777777" w:rsidR="00BE3068" w:rsidRDefault="00BE3068" w:rsidP="00BE3068">
      <w:pPr>
        <w:spacing w:after="0" w:line="240" w:lineRule="auto"/>
        <w:contextualSpacing/>
        <w:rPr>
          <w:rFonts w:ascii="Times New Roman" w:eastAsia="Calibri" w:hAnsi="Times New Roman" w:cs="Times New Roman"/>
          <w:lang w:val="en"/>
        </w:rPr>
      </w:pPr>
    </w:p>
    <w:p w14:paraId="5F7F57E8" w14:textId="77777777" w:rsidR="00BE3068" w:rsidRDefault="00BE3068" w:rsidP="00BE3068">
      <w:pPr>
        <w:spacing w:after="0" w:line="240" w:lineRule="auto"/>
        <w:contextualSpacing/>
        <w:rPr>
          <w:rFonts w:ascii="Times New Roman" w:eastAsia="Calibri" w:hAnsi="Times New Roman" w:cs="Times New Roman"/>
          <w:lang w:val="en"/>
        </w:rPr>
      </w:pPr>
    </w:p>
    <w:p w14:paraId="335C5B37" w14:textId="77777777" w:rsidR="00BE3068" w:rsidRDefault="00BE3068" w:rsidP="00BE3068">
      <w:pPr>
        <w:spacing w:after="0" w:line="240" w:lineRule="auto"/>
        <w:contextualSpacing/>
        <w:rPr>
          <w:rFonts w:ascii="Times New Roman" w:eastAsia="Calibri" w:hAnsi="Times New Roman" w:cs="Times New Roman"/>
          <w:lang w:val="en"/>
        </w:rPr>
      </w:pPr>
    </w:p>
    <w:p w14:paraId="79241116" w14:textId="77777777" w:rsidR="00BE3068" w:rsidRDefault="00BE3068" w:rsidP="00BE3068">
      <w:pPr>
        <w:spacing w:after="0" w:line="240" w:lineRule="auto"/>
        <w:contextualSpacing/>
        <w:rPr>
          <w:rFonts w:ascii="Times New Roman" w:eastAsia="Calibri" w:hAnsi="Times New Roman" w:cs="Times New Roman"/>
          <w:lang w:val="en"/>
        </w:rPr>
      </w:pPr>
    </w:p>
    <w:p w14:paraId="77B07D76" w14:textId="77777777" w:rsidR="00BE3068" w:rsidRDefault="00BE3068" w:rsidP="00BE3068">
      <w:pPr>
        <w:spacing w:after="0" w:line="240" w:lineRule="auto"/>
        <w:contextualSpacing/>
        <w:rPr>
          <w:rFonts w:ascii="Times New Roman" w:eastAsia="Calibri" w:hAnsi="Times New Roman" w:cs="Times New Roman"/>
          <w:lang w:val="en"/>
        </w:rPr>
      </w:pPr>
    </w:p>
    <w:p w14:paraId="65BEFDFA" w14:textId="77777777" w:rsidR="00BE3068" w:rsidRDefault="00BE3068" w:rsidP="00BD713B">
      <w:pPr>
        <w:jc w:val="center"/>
        <w:rPr>
          <w:rFonts w:ascii="Times New Roman" w:hAnsi="Times New Roman" w:cs="Times New Roman"/>
        </w:rPr>
      </w:pPr>
    </w:p>
    <w:p w14:paraId="1771230E" w14:textId="77777777" w:rsidR="008920EB" w:rsidRDefault="008920EB"/>
    <w:sectPr w:rsidR="008920EB">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30A48" w14:textId="77777777" w:rsidR="00B81516" w:rsidRDefault="00B81516" w:rsidP="00BD713B">
      <w:pPr>
        <w:spacing w:after="0" w:line="240" w:lineRule="auto"/>
      </w:pPr>
      <w:r>
        <w:separator/>
      </w:r>
    </w:p>
  </w:endnote>
  <w:endnote w:type="continuationSeparator" w:id="0">
    <w:p w14:paraId="3FD3E349" w14:textId="77777777" w:rsidR="00B81516" w:rsidRDefault="00B81516" w:rsidP="00BD7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70AA7" w14:textId="77777777" w:rsidR="00B81516" w:rsidRDefault="00B81516" w:rsidP="00BD713B">
      <w:pPr>
        <w:spacing w:after="0" w:line="240" w:lineRule="auto"/>
      </w:pPr>
      <w:r>
        <w:separator/>
      </w:r>
    </w:p>
  </w:footnote>
  <w:footnote w:type="continuationSeparator" w:id="0">
    <w:p w14:paraId="387BB88F" w14:textId="77777777" w:rsidR="00B81516" w:rsidRDefault="00B81516" w:rsidP="00BD7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481433"/>
      <w:docPartObj>
        <w:docPartGallery w:val="Page Numbers (Top of Page)"/>
        <w:docPartUnique/>
      </w:docPartObj>
    </w:sdtPr>
    <w:sdtContent>
      <w:p w14:paraId="2D543092" w14:textId="289F1D34" w:rsidR="00BD713B" w:rsidRDefault="00BD713B" w:rsidP="00156A6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3CC1D5" w14:textId="77777777" w:rsidR="00BD713B" w:rsidRDefault="00BD713B" w:rsidP="00BD713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483209528"/>
      <w:docPartObj>
        <w:docPartGallery w:val="Page Numbers (Top of Page)"/>
        <w:docPartUnique/>
      </w:docPartObj>
    </w:sdtPr>
    <w:sdtContent>
      <w:p w14:paraId="17CBF267" w14:textId="692105B5" w:rsidR="00BD713B" w:rsidRPr="00BD713B" w:rsidRDefault="00BD713B" w:rsidP="00156A69">
        <w:pPr>
          <w:pStyle w:val="Header"/>
          <w:framePr w:wrap="none" w:vAnchor="text" w:hAnchor="margin" w:xAlign="right" w:y="1"/>
          <w:rPr>
            <w:rStyle w:val="PageNumber"/>
            <w:rFonts w:ascii="Times New Roman" w:hAnsi="Times New Roman" w:cs="Times New Roman"/>
          </w:rPr>
        </w:pPr>
        <w:r w:rsidRPr="00BD713B">
          <w:rPr>
            <w:rStyle w:val="PageNumber"/>
            <w:rFonts w:ascii="Times New Roman" w:hAnsi="Times New Roman" w:cs="Times New Roman"/>
          </w:rPr>
          <w:fldChar w:fldCharType="begin"/>
        </w:r>
        <w:r w:rsidRPr="00BD713B">
          <w:rPr>
            <w:rStyle w:val="PageNumber"/>
            <w:rFonts w:ascii="Times New Roman" w:hAnsi="Times New Roman" w:cs="Times New Roman"/>
          </w:rPr>
          <w:instrText xml:space="preserve"> PAGE </w:instrText>
        </w:r>
        <w:r w:rsidRPr="00BD713B">
          <w:rPr>
            <w:rStyle w:val="PageNumber"/>
            <w:rFonts w:ascii="Times New Roman" w:hAnsi="Times New Roman" w:cs="Times New Roman"/>
          </w:rPr>
          <w:fldChar w:fldCharType="separate"/>
        </w:r>
        <w:r w:rsidRPr="00BD713B">
          <w:rPr>
            <w:rStyle w:val="PageNumber"/>
            <w:rFonts w:ascii="Times New Roman" w:hAnsi="Times New Roman" w:cs="Times New Roman"/>
            <w:noProof/>
          </w:rPr>
          <w:t>1</w:t>
        </w:r>
        <w:r w:rsidRPr="00BD713B">
          <w:rPr>
            <w:rStyle w:val="PageNumber"/>
            <w:rFonts w:ascii="Times New Roman" w:hAnsi="Times New Roman" w:cs="Times New Roman"/>
          </w:rPr>
          <w:fldChar w:fldCharType="end"/>
        </w:r>
      </w:p>
    </w:sdtContent>
  </w:sdt>
  <w:p w14:paraId="30B259FD" w14:textId="42871E31" w:rsidR="00BD713B" w:rsidRPr="00A63A75" w:rsidRDefault="00BD713B" w:rsidP="00BD713B">
    <w:pPr>
      <w:pStyle w:val="NoSpacing"/>
      <w:ind w:right="360"/>
      <w:rPr>
        <w:rFonts w:ascii="Times New Roman" w:hAnsi="Times New Roman" w:cs="Times New Roman"/>
        <w:shd w:val="clear" w:color="auto" w:fill="FFFFFF"/>
      </w:rPr>
    </w:pPr>
    <w:r w:rsidRPr="00A63A75">
      <w:rPr>
        <w:rFonts w:ascii="Times New Roman" w:hAnsi="Times New Roman" w:cs="Times New Roman"/>
        <w:shd w:val="clear" w:color="auto" w:fill="FFFFFF"/>
      </w:rPr>
      <w:t>9-1 Executive Summary and Plan</w:t>
    </w:r>
  </w:p>
  <w:p w14:paraId="0C08F9AA" w14:textId="4A7CD479" w:rsidR="00BD713B" w:rsidRDefault="00BD713B">
    <w:pPr>
      <w:pStyle w:val="Header"/>
    </w:pPr>
  </w:p>
  <w:p w14:paraId="32E9206D" w14:textId="77777777" w:rsidR="00BD713B" w:rsidRDefault="00BD71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13B"/>
    <w:rsid w:val="00057DF3"/>
    <w:rsid w:val="001C7AFA"/>
    <w:rsid w:val="00201933"/>
    <w:rsid w:val="004F7CE7"/>
    <w:rsid w:val="00605E94"/>
    <w:rsid w:val="00633189"/>
    <w:rsid w:val="00655BC4"/>
    <w:rsid w:val="007361CA"/>
    <w:rsid w:val="00787ED0"/>
    <w:rsid w:val="007C2599"/>
    <w:rsid w:val="008920EB"/>
    <w:rsid w:val="00A47FD1"/>
    <w:rsid w:val="00AE1C1F"/>
    <w:rsid w:val="00B81516"/>
    <w:rsid w:val="00BD713B"/>
    <w:rsid w:val="00BE3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3DC16"/>
  <w15:chartTrackingRefBased/>
  <w15:docId w15:val="{166BCC22-E3C2-FB4B-93C8-A482A650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13B"/>
    <w:rPr>
      <w:rFonts w:eastAsiaTheme="minorEastAsia"/>
    </w:rPr>
  </w:style>
  <w:style w:type="paragraph" w:styleId="Heading1">
    <w:name w:val="heading 1"/>
    <w:basedOn w:val="Normal"/>
    <w:next w:val="Normal"/>
    <w:link w:val="Heading1Char"/>
    <w:uiPriority w:val="9"/>
    <w:qFormat/>
    <w:rsid w:val="00BD7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7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7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13B"/>
    <w:rPr>
      <w:rFonts w:eastAsiaTheme="majorEastAsia" w:cstheme="majorBidi"/>
      <w:color w:val="272727" w:themeColor="text1" w:themeTint="D8"/>
    </w:rPr>
  </w:style>
  <w:style w:type="paragraph" w:styleId="Title">
    <w:name w:val="Title"/>
    <w:basedOn w:val="Normal"/>
    <w:next w:val="Normal"/>
    <w:link w:val="TitleChar"/>
    <w:uiPriority w:val="10"/>
    <w:qFormat/>
    <w:rsid w:val="00BD7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13B"/>
    <w:pPr>
      <w:spacing w:before="160"/>
      <w:jc w:val="center"/>
    </w:pPr>
    <w:rPr>
      <w:i/>
      <w:iCs/>
      <w:color w:val="404040" w:themeColor="text1" w:themeTint="BF"/>
    </w:rPr>
  </w:style>
  <w:style w:type="character" w:customStyle="1" w:styleId="QuoteChar">
    <w:name w:val="Quote Char"/>
    <w:basedOn w:val="DefaultParagraphFont"/>
    <w:link w:val="Quote"/>
    <w:uiPriority w:val="29"/>
    <w:rsid w:val="00BD713B"/>
    <w:rPr>
      <w:i/>
      <w:iCs/>
      <w:color w:val="404040" w:themeColor="text1" w:themeTint="BF"/>
    </w:rPr>
  </w:style>
  <w:style w:type="paragraph" w:styleId="ListParagraph">
    <w:name w:val="List Paragraph"/>
    <w:basedOn w:val="Normal"/>
    <w:uiPriority w:val="34"/>
    <w:qFormat/>
    <w:rsid w:val="00BD713B"/>
    <w:pPr>
      <w:ind w:left="720"/>
      <w:contextualSpacing/>
    </w:pPr>
  </w:style>
  <w:style w:type="character" w:styleId="IntenseEmphasis">
    <w:name w:val="Intense Emphasis"/>
    <w:basedOn w:val="DefaultParagraphFont"/>
    <w:uiPriority w:val="21"/>
    <w:qFormat/>
    <w:rsid w:val="00BD713B"/>
    <w:rPr>
      <w:i/>
      <w:iCs/>
      <w:color w:val="0F4761" w:themeColor="accent1" w:themeShade="BF"/>
    </w:rPr>
  </w:style>
  <w:style w:type="paragraph" w:styleId="IntenseQuote">
    <w:name w:val="Intense Quote"/>
    <w:basedOn w:val="Normal"/>
    <w:next w:val="Normal"/>
    <w:link w:val="IntenseQuoteChar"/>
    <w:uiPriority w:val="30"/>
    <w:qFormat/>
    <w:rsid w:val="00BD7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13B"/>
    <w:rPr>
      <w:i/>
      <w:iCs/>
      <w:color w:val="0F4761" w:themeColor="accent1" w:themeShade="BF"/>
    </w:rPr>
  </w:style>
  <w:style w:type="character" w:styleId="IntenseReference">
    <w:name w:val="Intense Reference"/>
    <w:basedOn w:val="DefaultParagraphFont"/>
    <w:uiPriority w:val="32"/>
    <w:qFormat/>
    <w:rsid w:val="00BD713B"/>
    <w:rPr>
      <w:b/>
      <w:bCs/>
      <w:smallCaps/>
      <w:color w:val="0F4761" w:themeColor="accent1" w:themeShade="BF"/>
      <w:spacing w:val="5"/>
    </w:rPr>
  </w:style>
  <w:style w:type="paragraph" w:styleId="NoSpacing">
    <w:name w:val="No Spacing"/>
    <w:uiPriority w:val="1"/>
    <w:qFormat/>
    <w:rsid w:val="00BD713B"/>
    <w:pPr>
      <w:spacing w:after="0" w:line="240" w:lineRule="auto"/>
    </w:pPr>
    <w:rPr>
      <w:rFonts w:eastAsiaTheme="minorEastAsia"/>
    </w:rPr>
  </w:style>
  <w:style w:type="paragraph" w:styleId="Header">
    <w:name w:val="header"/>
    <w:basedOn w:val="Normal"/>
    <w:link w:val="HeaderChar"/>
    <w:uiPriority w:val="99"/>
    <w:unhideWhenUsed/>
    <w:rsid w:val="00BD71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13B"/>
    <w:rPr>
      <w:rFonts w:eastAsiaTheme="minorEastAsia"/>
    </w:rPr>
  </w:style>
  <w:style w:type="paragraph" w:styleId="Footer">
    <w:name w:val="footer"/>
    <w:basedOn w:val="Normal"/>
    <w:link w:val="FooterChar"/>
    <w:uiPriority w:val="99"/>
    <w:unhideWhenUsed/>
    <w:rsid w:val="00BD71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13B"/>
    <w:rPr>
      <w:rFonts w:eastAsiaTheme="minorEastAsia"/>
    </w:rPr>
  </w:style>
  <w:style w:type="character" w:styleId="PageNumber">
    <w:name w:val="page number"/>
    <w:basedOn w:val="DefaultParagraphFont"/>
    <w:uiPriority w:val="99"/>
    <w:semiHidden/>
    <w:unhideWhenUsed/>
    <w:rsid w:val="00BD713B"/>
  </w:style>
  <w:style w:type="table" w:styleId="TableGrid">
    <w:name w:val="Table Grid"/>
    <w:basedOn w:val="TableNormal"/>
    <w:uiPriority w:val="59"/>
    <w:rsid w:val="00BE3068"/>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C7AF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C7AFA"/>
  </w:style>
  <w:style w:type="character" w:styleId="Hyperlink">
    <w:name w:val="Hyperlink"/>
    <w:basedOn w:val="DefaultParagraphFont"/>
    <w:uiPriority w:val="99"/>
    <w:unhideWhenUsed/>
    <w:rsid w:val="00201933"/>
    <w:rPr>
      <w:color w:val="467886" w:themeColor="hyperlink"/>
      <w:u w:val="single"/>
    </w:rPr>
  </w:style>
  <w:style w:type="character" w:styleId="UnresolvedMention">
    <w:name w:val="Unresolved Mention"/>
    <w:basedOn w:val="DefaultParagraphFont"/>
    <w:uiPriority w:val="99"/>
    <w:semiHidden/>
    <w:unhideWhenUsed/>
    <w:rsid w:val="002019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1991</Words>
  <Characters>11732</Characters>
  <Application>Microsoft Office Word</Application>
  <DocSecurity>0</DocSecurity>
  <Lines>335</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ANTOINETTE VALDEZ</dc:creator>
  <cp:keywords/>
  <dc:description/>
  <cp:lastModifiedBy>ANTOINETTE VALDEZ</cp:lastModifiedBy>
  <cp:revision>6</cp:revision>
  <dcterms:created xsi:type="dcterms:W3CDTF">2025-05-25T23:42:00Z</dcterms:created>
  <dcterms:modified xsi:type="dcterms:W3CDTF">2026-06-17T05:31:00Z</dcterms:modified>
</cp:coreProperties>
</file>