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A5C"/>
          <w:sz w:val="38"/>
          <w:szCs w:val="38"/>
        </w:rPr>
        <w:t xml:space="preserve">ITEA FRAMEWORK v1.3</w:t>
      </w:r>
    </w:p>
    <w:p>
      <w:pPr>
        <w:spacing w:after="100" w:before="7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2E5984"/>
          <w:sz w:val="24"/>
          <w:szCs w:val="24"/>
        </w:rPr>
        <w:t xml:space="preserve">Triple Automation Exposure Index</w:t>
      </w:r>
    </w:p>
    <w:p>
      <w:pPr>
        <w:spacing w:after="200" w:before="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2"/>
          <w:szCs w:val="22"/>
        </w:rPr>
        <w:t xml:space="preserve">Open Research Infrastructure for Collaboration</w:t>
      </w:r>
    </w:p>
    <w:p>
      <w:pPr>
        <w:spacing w:after="70" w:before="7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0"/>
          <w:szCs w:val="20"/>
        </w:rPr>
        <w:t xml:space="preserve">Alberto García-Lluis Valencia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alb.valencia@gmail.com</w:t>
      </w:r>
    </w:p>
    <w:p>
      <w:pPr>
        <w:spacing w:after="7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Doctoral Researcher — Universidad Rey Juan Carlos (URJC), Madrid</w:t>
      </w:r>
    </w:p>
    <w:p>
      <w:pPr>
        <w:spacing w:after="400" w:before="7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April 2026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1. An Unprecedented Research Infrastructure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ITEA Framework v1.3 represents over 18 months of methodological development, programming, data classification, and empirical validation. What is made available to the scientific community is not a theoretical paper, but a fully operational infrastructure.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we have built (v1.3): </w:t>
      </w:r>
      <w:r>
        <w:rPr>
          <w:rFonts w:ascii="Arial" w:cs="Arial" w:eastAsia="Arial" w:hAnsi="Arial"/>
          <w:sz w:val="20"/>
          <w:szCs w:val="20"/>
        </w:rPr>
        <w:t xml:space="preserve">8 composite indicators computed for 1,016 O*NET 2024 occupations, with ~40 variables per occupation. AEI classification of 15,000 occupational tasks. AEI Taxonomy v1.0: 13 families and 52 activity types. ~1,157,000 processed data cells. Cross-validation with Spanish data (Randstad Research 2026, N=642). Robustness report following the R performance package standards.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color w:val="1A7A2E"/>
          <w:sz w:val="20"/>
          <w:szCs w:val="20"/>
        </w:rPr>
        <w:t xml:space="preserve">New in v1.3: </w:t>
      </w:r>
      <w:r>
        <w:rPr>
          <w:rFonts w:ascii="Arial" w:cs="Arial" w:eastAsia="Arial" w:hAnsi="Arial"/>
          <w:sz w:val="20"/>
          <w:szCs w:val="20"/>
        </w:rPr>
        <w:t xml:space="preserve">IPI (Interpersonal Presence Index) as the 8th independent indicator. Empirically calibrated GEE (ρ=0.927 vs 0.259 in v1.1). IRO decoupled from IFS. IMO with Hurdle model. All improvements documented with full traceability v1.0→v1.3.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2. Estimated Time Savings for Researchers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For a researcher starting from scratch with raw O*NET files, reproducing the complete v1.3 workbook would require approximately 800–1,200 hours of work (6–9 months full-time): extraction of ~530 variables, normalization of 5 scales, cross-matching 18,796 tasks, computation of 8 composite indicators, statistical validation, and documentation. The ITEA framework eliminates this entry barrier.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3. Empirical Evidence v1.3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robustness report (April 2026) validated the framework following the principles of the performance package (Lüdecke et al., 2021). Key results for v1.3: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000"/>
        <w:gridCol w:w="1000"/>
        <w:gridCol w:w="1000"/>
        <w:gridCol w:w="1000"/>
        <w:gridCol w:w="13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Indicator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v1.3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GEE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Spearman ρ vs JZ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0.259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&gt;0.50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IRO-IFS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Pearson r (vs IFS_v1)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0.374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&lt;0.30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⚠️ IMPROVED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0.516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r(IPI, IFS_v3)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-0.163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Discrim.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IMO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max ≤ 1.0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1.250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1.000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≤1.0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0.798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0.842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Cronbach 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&gt;0.70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ITEA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Weight stability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0.987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&gt;0.90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22222"/>
                <w:sz w:val="16"/>
                <w:szCs w:val="16"/>
              </w:rPr>
              <w:t xml:space="preserve">✅ PASS</w:t>
            </w:r>
          </w:p>
        </w:tc>
      </w:tr>
    </w:tbl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IPI finding: </w:t>
      </w:r>
      <w:r>
        <w:rPr>
          <w:rFonts w:ascii="Arial" w:cs="Arial" w:eastAsia="Arial" w:hAnsi="Arial"/>
          <w:sz w:val="20"/>
          <w:szCs w:val="20"/>
        </w:rPr>
        <w:t xml:space="preserve">Extracting CI as an independent indicator yields excellent discriminant validity: r(IPI, IFS_v3) = -0.163. IPI captures a genuinely different construct (physical presence) compared to IFS (social competencies).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4. Research Lines Open for Collaboration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4.1. Automation Wage Premium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Does higher algorithmic exposure (AEI) predict a compensating wage premium? Data: AEI × 923 occupations + BLS OEWS wages + ITEA 8 indicators. Target journals: QJE, JLE, RESTAT.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4.2. QE and Senior Workforce Restructuring (LLR Channel)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Does quantitative easing accelerate the displacement of senior workers? Data: ITEA 8 indicators + OECD Pensions + layoff data. Target journals: JME, JPubE.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4.3. Triple Displacement (EAC/EIG/EIA)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Do the three automation vectors produce differentiated or convergent displacement patterns? Data: EAC/EIG/EIA × 1,016 occupations. Target journals: AER, JEP.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4.4. Occupational Mutation (IMO_v3)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Which occupations are declining without task renewal? Data: IMO_v3 (Hurdle) × 923 occupations + BLS projections. Target journals: JPAM, JHR.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4.5. Institutional Resilience (SI in IRO_v3)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Do occupational regulation, public employment, and unionization slow down automation? Data: IRO_v3 (with SI) + ITEA. Target journals: BPEA, JLE.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4.6. Technological Complementarity (ICT)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Under what conditions does technology adoption complement rather than substitute the worker? Data: ICT × 1,016 occupations + technology adoption surveys. Target journals: MS, JOLE.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4.7. Physical Exposure and Robotic Automation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In which sectors does robotic automation (IEF) converge with AI (ITEA)? Data: IEF + ITEA + IFR robot adoption data. Target journals: RESTAT, JDE.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4.8. International Validation (Eurostat, ISCO)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Is the ITEA framework replicable with European data (ISCO-08, Eurostat)? Data: SOC-ISCO crosswalk + EU-LFS + O*NET. Target journals: Labour Economics, EJPE.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4.9. IPI as an Independent Predictor of Automation Resistance (NEW v1.3)</w:t>
      </w:r>
    </w:p>
    <w:p>
      <w:pPr>
        <w:spacing w:after="7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Question: </w:t>
      </w:r>
      <w:r>
        <w:rPr>
          <w:rFonts w:ascii="Arial" w:cs="Arial" w:eastAsia="Arial" w:hAnsi="Arial"/>
          <w:sz w:val="20"/>
          <w:szCs w:val="20"/>
        </w:rPr>
        <w:t xml:space="preserve">Is interpersonal presence (IPI) an independent predictor of automation resistance, controlling for social friction (IFS) and resilience (IRO)? The negative correlation r(IPI, IFS_v3) = -0.163 suggests orthogonal constructs.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Data: IPI × 894 occupations + ITEA + AEI. Hypothesis: occupations with high IPI but low IFS (in-person but low social complexity, e.g. hairdressers, waitstaff) have a differentiated risk profile compared to occupations with high IFS but low IPI (remote but socially complex, e.g. online therapists).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Target journals: Journal of Labor Economics, Labour Economics, Industrial and Corporate Change.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5. Collaboration Modalities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Paper co-direction (co-authorship), dataset use with citation (open license), doctoral supervision (external validation), or methodological contribution (framework improvements). Data, code, and documentation are available upon request.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6. Contact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Alberto García-Lluis Valencia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alb.valencia@gmail.com</w:t>
      </w:r>
    </w:p>
    <w:p>
      <w:pPr>
        <w:spacing w:after="70" w:before="7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Universidad Rey Juan Carlos (URJC), Madrid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p.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888888"/>
        <w:sz w:val="14"/>
        <w:szCs w:val="14"/>
      </w:rPr>
      <w:t xml:space="preserve">ITEA v1.3 — Research Collaboration</w:t>
    </w:r>
    <w:r>
      <w:rPr>
        <w:rFonts w:ascii="Arial" w:cs="Arial" w:eastAsia="Arial" w:hAnsi="Arial"/>
        <w:color w:val="888888"/>
        <w:sz w:val="14"/>
        <w:szCs w:val="14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A6B96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2026-04-14T08:13:19.074Z</dcterms:created>
  <dcterms:modified xsi:type="dcterms:W3CDTF">2026-04-14T08:13:19.075Z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