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8"/>
          <w:szCs w:val="38"/>
        </w:rPr>
        <w:t xml:space="preserve">ITEA FRAMEWORK v1.3</w:t>
      </w:r>
    </w:p>
    <w:p>
      <w:pPr>
        <w:spacing w:after="10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5984"/>
          <w:sz w:val="24"/>
          <w:szCs w:val="24"/>
        </w:rPr>
        <w:t xml:space="preserve">Índice de Triple Exposición a la Automatización</w:t>
      </w:r>
    </w:p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Infraestructura de investigación abierta a colaboración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Alberto García-Lluis Valencia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alb.valencia@gmail.com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Investigador doctoral — Universidad Rey Juan Carlos (URJC), Madrid</w:t>
      </w:r>
    </w:p>
    <w:p>
      <w:pPr>
        <w:spacing w:after="40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Abril 2026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1. Una infraestructura de investigación sin precedentes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El Framework ITEA v1.3 representa más de 18 meses de desarrollo metodológico, programación, clasificación de datos y validación empírica. Lo que se pone a disposición de la comunidad científica no es un paper teórico, sino una infraestructura operativa completa.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 que hemos construido (v1.3): </w:t>
      </w:r>
      <w:r>
        <w:rPr>
          <w:rFonts w:ascii="Arial" w:cs="Arial" w:eastAsia="Arial" w:hAnsi="Arial"/>
          <w:sz w:val="21"/>
          <w:szCs w:val="21"/>
        </w:rPr>
        <w:t xml:space="preserve">8 indicadores compuestos calculados para 1.016 ocupaciones O*NET 2024, con ~40 variables por ocupación. Clasificación AEI de 15.000 tareas ocupacionales. Taxonomía AEI v1.0: 13 familias y 52 tipos de actividad. ~1.157.000 celdas procesadas. Validación cruzada con datos españoles (Randstad Research 2026, N=642). Informe de robustez siguiendo estándares del paquete performance (R).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7A2E"/>
          <w:sz w:val="21"/>
          <w:szCs w:val="21"/>
        </w:rPr>
        <w:t xml:space="preserve">Novedad v1.3: </w:t>
      </w:r>
      <w:r>
        <w:rPr>
          <w:rFonts w:ascii="Arial" w:cs="Arial" w:eastAsia="Arial" w:hAnsi="Arial"/>
          <w:sz w:val="21"/>
          <w:szCs w:val="21"/>
        </w:rPr>
        <w:t xml:space="preserve">IPI (Índice de Presencialidad Interpersonal) como 8º indicador independiente. GEE calibrado empíricamente (ρ=0.927 vs 0.259 en v1.1). IRO desacoplado de IFS. IMO con modelo Hurdle. Todas las mejoras documentadas con trazabilidad completa v1.0→v1.3.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2. Ahorro estimado para el investigador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Para un investigador que partiera de cero con los ficheros O*NET crudos, reproducir el workbook v1.3 completo requeriría aproximadamente 800–1.200 horas de trabajo (6–9 meses a tiempo completo): extracción de ~530 variables, normalización de 5 escalas, cruce de 18.796 tareas, cálculo de 8 indicadores compuestos, validación estadística, y documentación. El framework ITEA elimina esta barrera de entrada.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3. Evidencia empírica v1.3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El informe de robustez (Abril 2026) validó el framework siguiendo los principios del paquete performance (Lüdecke et al., 2021). Resultados clave de v1.3: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100"/>
        <w:gridCol w:w="1100"/>
        <w:gridCol w:w="1100"/>
        <w:gridCol w:w="1100"/>
        <w:gridCol w:w="140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Métrica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v1.1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v1.2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v1.3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Obj.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GEE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Spearman ρ vs JZ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17"/>
                <w:szCs w:val="17"/>
              </w:rPr>
              <w:t xml:space="preserve">0.259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0.927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7"/>
                <w:szCs w:val="17"/>
              </w:rPr>
              <w:t xml:space="preserve">0.927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&gt;0.50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IRO-IFS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Pearson r (vs IFS_v1)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17"/>
                <w:szCs w:val="17"/>
              </w:rPr>
              <w:t xml:space="preserve">0.507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0.374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7"/>
                <w:szCs w:val="17"/>
              </w:rPr>
              <w:t xml:space="preserve">0.374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&lt;0.30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⚠️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IFS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Cronbach α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17"/>
                <w:szCs w:val="17"/>
              </w:rPr>
              <w:t xml:space="preserve">0.516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0.749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7"/>
                <w:szCs w:val="17"/>
              </w:rPr>
              <w:t xml:space="preserve">0.749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&gt;0.70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IPI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r(IPI, IFS_v3)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7"/>
                <w:szCs w:val="17"/>
              </w:rPr>
              <w:t xml:space="preserve">-0.163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Discr.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IMO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max ≤ 1.0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17"/>
                <w:szCs w:val="17"/>
              </w:rPr>
              <w:t xml:space="preserve">1.250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1.000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7"/>
                <w:szCs w:val="17"/>
              </w:rPr>
              <w:t xml:space="preserve">1.000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≤1.0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IRO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Cronbach α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0.798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0.842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7"/>
                <w:szCs w:val="17"/>
              </w:rPr>
              <w:t xml:space="preserve">0.842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&gt;0.70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IEF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Cronbach α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0.919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0.919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7"/>
                <w:szCs w:val="17"/>
              </w:rPr>
              <w:t xml:space="preserve">0.919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&gt;0.70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ITEA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Estabilidad pesos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7"/>
                <w:szCs w:val="17"/>
              </w:rPr>
              <w:t xml:space="preserve">0.987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0.987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7"/>
                <w:szCs w:val="17"/>
              </w:rPr>
              <w:t xml:space="preserve">0.987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&gt;0.90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✅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Hallazgo IPI: </w:t>
      </w:r>
      <w:r>
        <w:rPr>
          <w:rFonts w:ascii="Arial" w:cs="Arial" w:eastAsia="Arial" w:hAnsi="Arial"/>
          <w:sz w:val="21"/>
          <w:szCs w:val="21"/>
        </w:rPr>
        <w:t xml:space="preserve">La extracción de CI como indicador independiente produce validez discriminante excelente: r(IPI, IFS_v3) = -0.163. IPI captura un constructo genuinamente diferente (presencialidad física) frente a IFS (competencias sociales).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4. Líneas de investigación abiertas a colaboración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4.1. Prima salarial por automatización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Pregunta: ¿Predice una mayor exposición algoritmizada (AEI) una prima salarial compensatoria? Datos: AEI × 923 ocupaciones + salarios BLS OEWS + ITEA 8 indicadores. Revistas: QJE, JLE, RESTAT.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4.2. QE y reestructuración laboral senior (LLR Channel)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Pregunta: ¿Acelera la expansión cuantitativa el desplazamiento de trabajadores senior? Datos: ITEA 8 indicadores + OECD Pensions + datos de EREs. Revistas: JME, JPubE.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4.3. Triple desplazamiento (EAC/EIG/EIA)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Pregunta: ¿Producen los tres vectores patrones de desplazamiento diferenciados o convergentes? Datos: EAC/EIG/EIA × 1.016 ocupaciones. Revistas: AER, JEP.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4.4. Mutación ocupacional (IMO_v3)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Pregunta: ¿Qué ocupaciones están en declive sin renovación de tareas? Datos: IMO_v3 (Hurdle) × 923 ocupaciones + proyecciones BLS. Revistas: JPAM, JHR.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4.5. Resiliencia institucional (SI en IRO_v3)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Pregunta: ¿Frenan la regulación, el empleo público y la sindicalización la automatización? Datos: IRO_v3 (con SI) + ITEA. Revistas: BPEA, JLE.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4.6. Complementariedad tecnológica (ICT)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Pregunta: ¿Bajo qué condiciones la adopción tecnológica complementa al trabajador? Datos: ICT × 1.016 ocupaciones + encuestas de adopción tecnológica. Revistas: MS, JOLE.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4.7. Exposición física y automatización robótica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Pregunta: ¿En qué sectores converge la automatización robótica (IEF) con la IA (ITEA)? Datos: IEF + ITEA + datos de adopción robótica IFR. Revistas: RESTAT, JDE.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4.8. Validación internacional (Eurostat, ISCO)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Pregunta: ¿Es replicable el framework ITEA con datos europeos (ISCO-08, Eurostat)? Datos: crosswalk SOC-ISCO + EU-LFS + O*NET. Revistas: LabourEcon, EJPE.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4.9. IPI como predictor de resistencia a la automatización (NUEVA v1.3)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Pregunta: </w:t>
      </w:r>
      <w:r>
        <w:rPr>
          <w:rFonts w:ascii="Arial" w:cs="Arial" w:eastAsia="Arial" w:hAnsi="Arial"/>
          <w:sz w:val="21"/>
          <w:szCs w:val="21"/>
        </w:rPr>
        <w:t xml:space="preserve">¿Es la presencialidad interpersonal (IPI) un predictor independiente de resistencia a la automatización, controlando por fricción social (IFS) y resiliencia (IRO)? La correlación negativa r(IPI, IFS_v3) = -0.163 sugiere que son constructos ortogonales.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Datos: IPI × 894 ocupaciones + ITEA + AEI. Hipótesis: ocupaciones con alto IPI pero bajo IFS (presenciales pero con baja complejidad social, e.g. peluqueros, camareros) tienen un perfil de riesgo diferenciado respecto a ocupaciones con alto IFS pero bajo IPI (remotas pero socialmente complejas, e.g. terapeutas online).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Revistas objetivo: Journal of Labor Economics, Labour Economics, Industrial and Corporate Change.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5. Modalidades de colaboración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Codirección de papers (coautoría), uso del dataset con citación (licencia abierta), supervisión doctoral (validación externa), o contribución metodológica (mejoras al framework). Los datos, código y documentación están disponibles bajo solicitud.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6. Contacto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Alberto García-Lluis Valencia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alb.valencia@gmail.com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Universidad Rey Juan Carlos (URJC), Madrid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5"/>
        <w:szCs w:val="15"/>
      </w:rPr>
      <w:t xml:space="preserve">Pág.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888888"/>
        <w:sz w:val="15"/>
        <w:szCs w:val="15"/>
      </w:rPr>
      <w:t xml:space="preserve">ITEA v1.3 — Colaboración</w:t>
    </w:r>
    <w:r>
      <w:rPr>
        <w:rFonts w:ascii="Arial" w:cs="Arial" w:eastAsia="Arial" w:hAnsi="Arial"/>
        <w:color w:val="888888"/>
        <w:sz w:val="15"/>
        <w:szCs w:val="15"/>
      </w:rPr>
      <w:t xml:space="preserve">	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4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598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6B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2026-04-14T07:39:45.838Z</dcterms:created>
  <dcterms:modified xsi:type="dcterms:W3CDTF">2026-04-14T07:39:45.838Z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