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6"/>
          <w:szCs w:val="26"/>
        </w:rPr>
        <w:t xml:space="preserve">ANEXO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6"/>
          <w:szCs w:val="36"/>
        </w:rPr>
        <w:t xml:space="preserve">Instrucciones de Representación Gráfica</w:t>
      </w:r>
    </w:p>
    <w:p>
      <w:pPr>
        <w:spacing w:after="3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30"/>
          <w:szCs w:val="30"/>
        </w:rPr>
        <w:t xml:space="preserve">Guía de Estilos</w:t>
      </w:r>
    </w:p>
    <w:p>
      <w:pPr>
        <w:pBdr>
          <w:top w:val="single" w:color="1B3A5C" w:sz="6" w:space="8"/>
          <w:bottom w:val="single" w:color="1B3A5C" w:sz="6" w:space="8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Basado en los principios de Claus O. Wilke (2019)
Fundamentals of Data Visualization — O’Reilly Media</w:t>
      </w:r>
    </w:p>
    <w:p>
      <w:pPr>
        <w:spacing w:after="80" w:befor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Framework ITEA v1.3 — Guía Didáctica del Workbook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Alberto García-Lluis Valencia — Universidad Rey Juan Carlos</w:t>
      </w:r>
    </w:p>
    <w:p>
      <w:pPr>
        <w:spacing w:after="4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Abril 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1. Principios fundamentales de visualización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1.1. Jerarquía de objetivos visuales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Toda visualización de datos ITEA debe seguir tres principios en orden de prioridad, derivados de los capítulos 1–3 de Wilke: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50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Principio Wilke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Mostrar los datos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 decorar, no distorsionar, no ocultar. La tinta debe estar al servicio de la información.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Guiar la atención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Dirigir la mirada a las comparaciones relevantes: diferencias entre estratos, distribuciones de riesgo, correlaciones clave.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Contar una historia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Secuencia lógica de descubrimiento: del contexto general al detalle, de la distribución global al caso atípico.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1.2. Selección del tipo de gráfico según la pregunta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elección del gráfico no es estética sino funcional. Según Wilke (capítulos 4–5), cada pregunta de investigación demanda un tipo específico: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30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Pregunta de investigación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Gráfico recomendado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Evitar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¿Cuánto AEI tiene cada sector?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Barras ordenadas (bar plot)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2222"/>
                <w:sz w:val="17"/>
                <w:szCs w:val="17"/>
              </w:rPr>
              <w:t xml:space="preserve">Circular (pie, donut)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¿Cómo se distribuye el ITEA?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Histograma + densidad (violin)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2222"/>
                <w:sz w:val="17"/>
                <w:szCs w:val="17"/>
              </w:rPr>
              <w:t xml:space="preserve">Barras con pocos bins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¿ITEA vs IEF por ocupación?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Scatter plot + tendencia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2222"/>
                <w:sz w:val="17"/>
                <w:szCs w:val="17"/>
              </w:rPr>
              <w:t xml:space="preserve">Burbujas 3D, colores redundantes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¿Correlaciones entre indicadores?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Heatmap triangular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2222"/>
                <w:sz w:val="17"/>
                <w:szCs w:val="17"/>
              </w:rPr>
              <w:t xml:space="preserve">Gráficos de red complejos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¿Ranking de ocupaciones?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Dot plot horizontal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2222"/>
                <w:sz w:val="17"/>
                <w:szCs w:val="17"/>
              </w:rPr>
              <w:t xml:space="preserve">Barras verticales con etiquetas rotadas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¿Perfil multidimensional?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Coordenadas paralelas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2222"/>
                <w:sz w:val="17"/>
                <w:szCs w:val="17"/>
              </w:rPr>
              <w:t xml:space="preserve">Radar charts (distorsionan áreas)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¿Evolución temporal?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Líneas con intervalos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2222"/>
                <w:sz w:val="17"/>
                <w:szCs w:val="17"/>
              </w:rPr>
              <w:t xml:space="preserve">Áreas apiladas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1.3. Proporciones y dimensiones estándar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 figuras ITEA deben seguir proporciones consistentes para publicación académica: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7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gráfico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Ancho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Proporción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Histograma, barras, líneas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8.0 pulgadas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4.94 pulgadas</w:t>
            </w:r>
          </w:p>
        </w:tc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 : 1.618 (áurea)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Scatter plot, heatmap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6.0 pulgadas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6.0 pulgadas</w:t>
            </w:r>
          </w:p>
        </w:tc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 : 1 (cuadrada)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Dot plot, ranking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10.0 pulgadas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6.18 pulgadas</w:t>
            </w:r>
          </w:p>
        </w:tc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1.618 : 1 (apaisada)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Coordenadas paralelas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12.0 pulgadas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6.0 pulgadas</w:t>
            </w:r>
          </w:p>
        </w:tc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 : 1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Resolución mínima para publicación: 300 DPI. Formato preferido: PDF o SVG (vectorial). PNG solo para web (mín. 150 DPI).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2. Paletas de color oficiales ITEA v1.3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Todas las paletas están certificadas como accesibles para daltonianos (protanopía y deuteranopía), siguiendo las recomendaciones de Wilke (cap. 19) y la paleta Okabe-Ito.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2.1. Paleta categórica: Estratos profesionales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800"/>
        <w:gridCol w:w="2000"/>
        <w:gridCol w:w="190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Estrato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Muestra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Hex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Accesibilidad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 — Técnico no cualificado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9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#E69F00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#E69F00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Naranja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2E"/>
                <w:sz w:val="17"/>
                <w:szCs w:val="17"/>
              </w:rPr>
              <w:t xml:space="preserve">✅ Okabe-Ito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 — Técnico cualificado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2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6"/>
                <w:szCs w:val="16"/>
              </w:rPr>
              <w:t xml:space="preserve">#0072B2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#0072B2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Azul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2E"/>
                <w:sz w:val="17"/>
                <w:szCs w:val="17"/>
              </w:rPr>
              <w:t xml:space="preserve">✅ Okabe-Ito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 — Manager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9E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6"/>
                <w:szCs w:val="16"/>
              </w:rPr>
              <w:t xml:space="preserve">#009E73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#009E73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Verde azulado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2E"/>
                <w:sz w:val="17"/>
                <w:szCs w:val="17"/>
              </w:rPr>
              <w:t xml:space="preserve">✅ Okabe-Ito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 — Ejecutivo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79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#CC79A7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#CC79A7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Rosa rojizo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2E"/>
                <w:sz w:val="17"/>
                <w:szCs w:val="17"/>
              </w:rPr>
              <w:t xml:space="preserve">✅ Okabe-Ito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2.2. Paleta categórica: Riesgo ITEA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800"/>
        <w:gridCol w:w="390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de riesgo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Muestra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Hex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5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#D55E00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#D55E00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Rojo vermellón (Okabe-Ito). Ocupaciones con ITEA &gt; P75.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4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#F0E442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#F0E442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Amarillo (Okabe-Ito). Ocupaciones entre P25 y P75.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6B4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6"/>
                <w:szCs w:val="16"/>
              </w:rPr>
              <w:t xml:space="preserve">#56B4E9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#56B4E9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Azul cielo (Okabe-Ito). Ocupaciones con ITEA &lt; P25.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2.3. Paleta divergente: Correlaciones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Para matrices de correlación y cualquier escala con punto central en cero: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900"/>
        <w:gridCol w:w="1200"/>
        <w:gridCol w:w="3306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Extremo negativo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Muestra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Extremo positivo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Muestra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seaborn/ggplot2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#67001F (rojo oscuro)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700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6"/>
                <w:szCs w:val="16"/>
              </w:rPr>
              <w:t xml:space="preserve">#67001F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#053061 (azul oscuro)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30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6"/>
                <w:szCs w:val="16"/>
              </w:rPr>
              <w:t xml:space="preserve">#053061</w:t>
            </w:r>
          </w:p>
        </w:tc>
        <w:tc>
          <w:tcPr>
            <w:tcW w:type="dxa" w:w="3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cmap='RdBu_r' | scale_fill_distiller(palette='RdBu')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Centro: blanco (#F7F7F7). Rango fijo: [-1, +1]. No ajustar al rango de los datos.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2.4. Paleta secuencial: AEI e indicadores continuos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600"/>
        <w:gridCol w:w="350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Muestra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0.0 – 0.2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#FFFFB2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#FFFFB2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Amarillo claro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Bajo riesgo / baja exposición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0.2 – 0.4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C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#FECC5C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#FECC5C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Naranja claro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0.4 – 0.6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8D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#FD8D3C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#FD8D3C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Naranja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Riesgo medio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0.6 – 0.8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3B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#F03B20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#F03B20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Rojo naranja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0.8 – 1.0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00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#BD0026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#BD0026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Rojo oscuro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Alto riesgo / alta exposición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Código: cmap='YlOrRd' (Python) | scale_fill_distiller(palette='YlOrRd') (R).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2.5. Paleta para indicadores individuales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Cuando se representa un único indicador de forma aislada (sin comparación), usar un color sólido de la paleta Okabe-Ito: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30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Muestra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ITEA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5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#D55E00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#D55E00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Vermellón. Exposición a automatización.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9E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6"/>
                <w:szCs w:val="16"/>
              </w:rPr>
              <w:t xml:space="preserve">#009E73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#009E73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Verde. Resiliencia (contrafuerza).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4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#F0E442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#F0E442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Amarillo. Complementariedad tecnológica.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IFS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2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6"/>
                <w:szCs w:val="16"/>
              </w:rPr>
              <w:t xml:space="preserve">#0072B2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#0072B2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Azul. Fricción social.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IPI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6B4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6"/>
                <w:szCs w:val="16"/>
              </w:rPr>
              <w:t xml:space="preserve">#56B4E9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#56B4E9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Azul cielo. Presencialidad interpersonal.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IEF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79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#CC79A7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#CC79A7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Rosa. Exposición física.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9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#E69F00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#E69F00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Naranja. Gradiente educación-experiencia.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IMO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9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222222"/>
                <w:sz w:val="16"/>
                <w:szCs w:val="16"/>
              </w:rPr>
              <w:t xml:space="preserve">#999999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#999999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Gris. Mutación ocupacional.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3. Prompts estándar de visualización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Los siguientes bloques pueden copiarse directamente como instrucciones para asistentes de IA, scripts R/ggplot2 o Python/seaborn. Todos siguen las especificaciones de este anexo: proporción áurea, paleta Okabe-Ito, fondo limpio, formato vectorial.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3.1. Distribución: Histograma + densidad (AEI)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Pregunta: </w:t>
      </w:r>
      <w:r>
        <w:rPr>
          <w:rFonts w:ascii="Arial" w:cs="Arial" w:eastAsia="Arial" w:hAnsi="Arial"/>
          <w:sz w:val="21"/>
          <w:szCs w:val="21"/>
        </w:rPr>
        <w:t xml:space="preserve">¿Cómo se distribuye el riesgo de automatización (AEI) en las 923 ocupaciones?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Tipo: Histograma + KDE superpuesto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Bins: Regla Freedman-Diaconis (bins='fd')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Color: #0072B2 (azul Okabe-Ito), alpha=0.6 para barras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Densidad: Kernel gaussiano, bandwidth Scott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Anotaciones: Media (línea continua negra), Mediana (línea punteada)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Proporción: 8.0 × 4.94 pulgadas (1:1.618)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Ejes: 'AEI (Algorithmic Expropriation Index)' / 'Densidad'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Fondo: Blanco, sin grid gris. sns.despine()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Salida: PDF vectorial, 300 DPI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3.2. Correlación: Scatter plot (ITEA vs IEF)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Pregunta: </w:t>
      </w:r>
      <w:r>
        <w:rPr>
          <w:rFonts w:ascii="Arial" w:cs="Arial" w:eastAsia="Arial" w:hAnsi="Arial"/>
          <w:sz w:val="21"/>
          <w:szCs w:val="21"/>
        </w:rPr>
        <w:t xml:space="preserve">¿Qué relación existe entre exposición cognitiva (ITEA) y exposición física (IEF)?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Tipo: Scatter plot + LOESS (span=0.75) + IC 95%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Puntos: Tamaño fijo 1.5pt, alpha=0.5, color por Estrato (Okabe-Ito)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Línea tendencia: Negra punteada, grupo total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Anotación: Pearson r en esquina superior izquierda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Proporción: 6 × 6 pulgadas (cuadrada)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Leyenda: Fuera del área (derecha), título 'Estrato'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Grid: Solo líneas de referencia en 0, 0.25, 0.5, 0.75, 1.0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3.3. Matriz de correlaciones: Heatmap triangular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Pregunta: </w:t>
      </w:r>
      <w:r>
        <w:rPr>
          <w:rFonts w:ascii="Arial" w:cs="Arial" w:eastAsia="Arial" w:hAnsi="Arial"/>
          <w:sz w:val="21"/>
          <w:szCs w:val="21"/>
        </w:rPr>
        <w:t xml:space="preserve">¿Cómo se correlacionan los 8 indicadores ITEA v1.3 entre sí?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Tipo: Heatmap cuadrado, triángulo inferior solamente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Variables: ITEA, IRO, IFS, IPI, ICT, IEF, GEE, IMO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Paleta: RdBu_r divergente, rango fijo [-1, +1], centro en 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Anotaciones: Coeficientes r con 2 decimales; omitir si |r| &lt; 0.30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Diagonal: 1.00 (sin anotación)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Proporción: 10 × 8 pulgadas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3.4. Ranking: Dot plot horizontal (Top/Bottom 15)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Pregunta: </w:t>
      </w:r>
      <w:r>
        <w:rPr>
          <w:rFonts w:ascii="Arial" w:cs="Arial" w:eastAsia="Arial" w:hAnsi="Arial"/>
          <w:sz w:val="21"/>
          <w:szCs w:val="21"/>
        </w:rPr>
        <w:t xml:space="preserve">¿Cuáles son las ocupaciones con mayor y menor AEI?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Tipo: Dot plot horizontal, orden descendente (Top) + ascendente (Bottom)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Puntos: Círculos tamaño 3pt, color por Estrato (Okabe-Ito)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Línea referencia: Vertical en AEI medio (55.24), punteada gris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Etiquetas: Ocupación truncada a 40 caracteres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Proporción: 10 × 6.18 pulgadas (1.618:1 apaisada)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Grid: Solo líneas horizontales mínimas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3.5. Perfil multidimensional: Coordenadas paralelas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Pregunta: </w:t>
      </w:r>
      <w:r>
        <w:rPr>
          <w:rFonts w:ascii="Arial" w:cs="Arial" w:eastAsia="Arial" w:hAnsi="Arial"/>
          <w:sz w:val="21"/>
          <w:szCs w:val="21"/>
        </w:rPr>
        <w:t xml:space="preserve">¿Cómo difiere el perfil de indicadores entre ocupaciones tipo?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Tipo: Parallel coordinates, 8 ejes normalizados [0,1]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Ocupaciones ejemplo: Credit Analysts (alto AEI), Registered Nurses (medio), Shampooers (bajo)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Líneas: Grosor 1.5pt, alpha=0.7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Colores: #D55E00 (alto), #999999 (medio), #0072B2 (bajo)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Proporción: 12 × 6 pulgadas (2:1)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Leyenda: Inferior centrada, horizontal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3.6. Comparación sectorial: Barras ordenadas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Pregunta: </w:t>
      </w:r>
      <w:r>
        <w:rPr>
          <w:rFonts w:ascii="Arial" w:cs="Arial" w:eastAsia="Arial" w:hAnsi="Arial"/>
          <w:sz w:val="21"/>
          <w:szCs w:val="21"/>
        </w:rPr>
        <w:t xml:space="preserve">¿Qué sectores (SOC Major) tienen mayor exposición media?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Tipo: Barras horizontales ordenadas por AEI medio descendente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Color: Gradiente YlOrRd según valor AEI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Anotación: Valor numérico al final de cada barra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Proporción: 10 × 8 pulgadas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Eje Y: Nombre completo del grupo SOC (sin código)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4. Configuración base de estilo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4.1. Python (matplotlib + seaborn)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matplotlib.pyplot as plt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seaborn as sns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sns.set_style('white')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sns.set_context('paper', font_scale=1.2)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plt.rcParams['figure.dpi'] = 300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plt.rcParams['savefig.dpi'] = 300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plt.rcParams['font.family'] = 'sans-serif'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plt.rcParams['font.sans-serif'] = ['Arial', 'Helvetica']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Paleta Okabe-Ito para estratos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OKABE_ITO = ['#E69F00', '#0072B2', '#009E73', '#CC79A7']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wilke_figure(width=8, ratio=1.618):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plt.figure(figsize=(width, width/ratio))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4.2. R (ggplot2)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library(ggplot2)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theme_itea &lt;- theme_classic() +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theme(text = element_text(family = 'Arial'),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legend.position = 'right',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panel.grid.major = element_blank(),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panel.grid.minor = element_blank())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okabe_ito &lt;- c('#E69F00', '#0072B2', '#009E73', '#CC79A7')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Guardar con proporción áurea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ggsave('figura.pdf', width=8, height=8/1.618, units='in', dpi=300)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5. Lista de verificación pre-publicación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Antes de incluir cualquier visualización ITEA en un paper, informe o presentación, verificar los siguientes 10 criterios (derivados de Wilke, cap. 27):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9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verificar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Proporción correcta (1:1.618, 1:1, o 1.618:1)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Comprobar figsize/ggsave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Sin grid gris de fondo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sns.despine() / theme_classic()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Leyendas fuera del área de datos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legend.position='right' o inferior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Etiquetas de ejes horizontales (sin rotación 45°/90°)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Usar barras horizontales si hay muchas categorías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Paleta accesible a daltónicos (Okabe-Ito)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Usar los hex codes de la Sección 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Escala adecuada (log si rango &gt; 2 órdenes de magnitud)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AEI, ITEA: lineal. IMO: considerar log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Títulos informativos (no 'Gráfico 1')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'Distribución del AEI por sector (N=923)'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Fuente sans-serif (Arial, Helvetica)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font.family en rcParams / theme(text=...)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Formato vectorial (PDF o SVG)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savefig('fig.pdf') / ggsave('fig.pdf')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Resolución ≥ 300 DPI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plt.rcParams['savefig.dpi'] = 300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6. Referencia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Wilke, C. O. (2019).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Fundamentals of Data Visualization: A Primer on Making Informative and Compelling Figures.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O’Reilly Media. ISBN 978-1-492-03108-6.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Disponible en acceso abierto: https://clauswilke.com/dataviz/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Este anexo forma parte de la Guía Didáctica del Workbook ITEA v1.3. Las paletas, proporciones y prompts son prescriptivos para toda visualización asociada al framework ITEA.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Pág.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ITEA v1.3 — Anexo: Guía de Estilos de Visualización</w:t>
    </w:r>
    <w:r>
      <w:rPr>
        <w:rFonts w:ascii="Arial" w:cs="Arial" w:eastAsia="Arial" w:hAnsi="Arial"/>
        <w:color w:val="888888"/>
        <w:sz w:val="15"/>
        <w:szCs w:val="15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98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B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2026-04-14T07:47:48.241Z</dcterms:created>
  <dcterms:modified xsi:type="dcterms:W3CDTF">2026-04-14T07:47:48.242Z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