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6"/>
          <w:szCs w:val="36"/>
        </w:rPr>
        <w:t xml:space="preserve">GUÍA DIDÁCTICA DEL WORKBOOK</w:t>
      </w:r>
    </w:p>
    <w:p>
      <w:pPr>
        <w:spacing w:after="200" w:before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5984"/>
          <w:sz w:val="24"/>
          <w:szCs w:val="24"/>
        </w:rPr>
        <w:t xml:space="preserve">Research Data Workbook — ITEA v1.3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Explicación variable por variable, hoja por hoja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8 indicadores · 1.016 ocupaciones · 9 hojas · ~40 columnas</w:t>
      </w:r>
    </w:p>
    <w:p>
      <w:pPr>
        <w:spacing w:after="40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Abril 2026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1. Introducción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Esta guía explica el contenido del archivo Research_Data_Workbook_ITEA_v1_3_COMPLETO.xlsx. El workbook contiene 9 hojas organizadas en tres bloques: datos maestros (ITEA_8_INDICADORES_v1.3, ITEA_SECTORES, TOP_BOTTOM, DISTRIBUCION), validación (CORRELACIONES, METODOLOGIA, VALIDACION_v1.3), e infraestructura (README, CHANGELOG).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Novedad v1.3: </w:t>
      </w:r>
      <w:r>
        <w:rPr>
          <w:rFonts w:ascii="Arial" w:cs="Arial" w:eastAsia="Arial" w:hAnsi="Arial"/>
          <w:sz w:val="21"/>
          <w:szCs w:val="21"/>
        </w:rPr>
        <w:t xml:space="preserve">Se añade IPI (Índice de Presencialidad Interpersonal) como 8º indicador, extraído de la dimensión CI que formaba parte de IFS en v1.1. También se añaden hojas VALIDACION_v1.3 y CHANGELOG.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2. Hoja README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Metadatos del workbook: nombre, versión, fecha, fuente (O*NET 2024), número de ocupaciones (1.016), autor, fórmulas de cada indicador v1.3, y estándar de validación (performance, Lüdecke et al. 2021).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3. Hoja ITEA_8_INDICADORES_v1.3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Hoja central: 1.016 filas (ocupaciones) × ~40 columnas, organizadas en 10 grupos cromáticos.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3.1. Grupo Identificación (cols 1–5)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SOC Code (código O*NET-SOC 2019), Ocupación (nombre), SOC Major (grupo principal 2 dígitos), Job Zone (1–5), Estrato (1–4). Sin cambios respecto a v1.1.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3.2. Grupo ITEA — Exposición (cols 6–12)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AEI (proxy de riesgo, escala propia), EAC/EIG/EIA [0,1] (tres vectores tecnológicos), ITEA Global y Estratificado [0,1], Riesgo ITEA (Alto/Medio/Bajo). Sin cambios. Nota: ITEA es un índice formativo (α no aplicable; VIF=1.01–1.21, estabilidad ρ=0.987).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3.3. Grupo IRO_v3 — Resiliencia (cols 13–16)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2222"/>
          <w:sz w:val="21"/>
          <w:szCs w:val="21"/>
        </w:rPr>
        <w:t xml:space="preserve">Cambio v1.3: </w:t>
      </w:r>
      <w:r>
        <w:rPr>
          <w:rFonts w:ascii="Arial" w:cs="Arial" w:eastAsia="Arial" w:hAnsi="Arial"/>
          <w:sz w:val="21"/>
          <w:szCs w:val="21"/>
        </w:rPr>
        <w:t xml:space="preserve">4 columnas (antes 5). Se elimina CS (=IFS). IRO_v3 = 0.35·CA + 0.35·CC + 0.30·SI. Componentes: CA (capacidad adaptativa), CC (complejidad cognitiva), SI (seguridad institucional). α = 0.842.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3.4. Grupo ICT — Complementariedad (cols 17–20)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ICT, ITD, ATE, DTS. Sin cambios. ICT es formativo (α no aplicable).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3.5. Grupo IFS_v3 + IPI — Fricción Social y Presencialidad (cols 21–25)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2222"/>
          <w:sz w:val="21"/>
          <w:szCs w:val="21"/>
        </w:rPr>
        <w:t xml:space="preserve">Cambio v1.3: </w:t>
      </w:r>
      <w:r>
        <w:rPr>
          <w:rFonts w:ascii="Arial" w:cs="Arial" w:eastAsia="Arial" w:hAnsi="Arial"/>
          <w:sz w:val="21"/>
          <w:szCs w:val="21"/>
        </w:rPr>
        <w:t xml:space="preserve">IFS_v3 = 0.35·CDE + 0.40·DHS + 0.25·CC_comm (sin CI). CI pasa a ser el nuevo indicador IPI (columna 25). Componentes IFS: CDE (conflicto/demanda emocional), DHS (habilidades sociales), CC_comm (capacidades comunicativas). α = 0.749.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IPI (col 25): </w:t>
      </w:r>
      <w:r>
        <w:rPr>
          <w:rFonts w:ascii="Arial" w:cs="Arial" w:eastAsia="Arial" w:hAnsi="Arial"/>
          <w:sz w:val="21"/>
          <w:szCs w:val="21"/>
        </w:rPr>
        <w:t xml:space="preserve">CI_norm = 0.7·CI_presencial + 0.3·(1−CI_remoto). Mide presencialidad física interpersonal. Media=0.609, DE=0.089. Validez discriminante: r(IPI,IFS_v3) = -0.163 (constructos independientes).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3.6. Grupo IEF — Exposición Física (cols 26–29)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IEF, DPF, ERA, DCF. Sin cambios. α = 0.919 (excelente).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3.7. Grupo GEE_v3 — Educación/Experiencia (cols 30–34)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2222"/>
          <w:sz w:val="21"/>
          <w:szCs w:val="21"/>
        </w:rPr>
        <w:t xml:space="preserve">Cambio v1.2+: </w:t>
      </w:r>
      <w:r>
        <w:rPr>
          <w:rFonts w:ascii="Arial" w:cs="Arial" w:eastAsia="Arial" w:hAnsi="Arial"/>
          <w:sz w:val="21"/>
          <w:szCs w:val="21"/>
        </w:rPr>
        <w:t xml:space="preserve">GEE_v3 = normalize(0.215·C_RL + 0.004·C_RW). Calibración empírica OLS (R²=0.854). C_PT y C_OJ se mantienen como referencia pero no entran en el cálculo. ρ(GEE,JZ) = 0.927. Nota: se exploró log-percentil intra-JZ en v1.3 (ρ=-0.02, descartado).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3.8. Grupo IMO_v3 — Mutación (cols 35–38)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C2222"/>
          <w:sz w:val="21"/>
          <w:szCs w:val="21"/>
        </w:rPr>
        <w:t xml:space="preserve">Cambio v1.2+: </w:t>
      </w:r>
      <w:r>
        <w:rPr>
          <w:rFonts w:ascii="Arial" w:cs="Arial" w:eastAsia="Arial" w:hAnsi="Arial"/>
          <w:sz w:val="21"/>
          <w:szCs w:val="21"/>
        </w:rPr>
        <w:t xml:space="preserve">IMO_v3 = muta × min(1, log(1+ratio)/log(2)). Modelo Hurdle. IMO_muta (binario), IMO_intensidad [0,1], Tipología IMO (Estable/Expansión/Declive/Transformación). Max=1.000 (cap aplicado).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3.9. Grupo Clasificación AEI (cols 39–40)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% ALTA Auto, % ALTA Algo. Sin cambios.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4–8. Hojas ITEA_SECTORES, TOP_BOTTOM, DISTRIBUCION, CORRELACIONES, METODOLOGIA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Estructura análoga a v1.1, actualizada con los 8 indicadores v1.3. La hoja CORRELACIONES ahora incluye IPI. DISTRIBUCION incluye estadísticas descriptivas de los 8+1 indicadores (incluyendo AEI).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9. Hoja VALIDACION_v1.3 (NUEVA)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Tabla comparativa de métricas de validación v1.1 → v1.2 → v1.3. Cada fila es un test (GEE ρ, IRO-IFS r, IFS α, IMO max, etc.) con valores observados, objetivo y estado PASS/FAIL.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100"/>
        <w:gridCol w:w="1100"/>
        <w:gridCol w:w="1100"/>
        <w:gridCol w:w="1100"/>
        <w:gridCol w:w="140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v1.1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v1.2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v1.3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Obj.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GEE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Spearman ρ vs JZ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7"/>
                <w:szCs w:val="17"/>
              </w:rPr>
              <w:t xml:space="preserve">0.259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0.927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7"/>
                <w:szCs w:val="17"/>
              </w:rPr>
              <w:t xml:space="preserve">0.927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&gt;0.50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IRO-IFS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Pearson r (vs IFS_v1)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7"/>
                <w:szCs w:val="17"/>
              </w:rPr>
              <w:t xml:space="preserve">0.507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0.374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8800"/>
                <w:sz w:val="17"/>
                <w:szCs w:val="17"/>
              </w:rPr>
              <w:t xml:space="preserve">0.374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&lt;0.30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⚠️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IFS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Cronbach 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7"/>
                <w:szCs w:val="17"/>
              </w:rPr>
              <w:t xml:space="preserve">0.516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0.749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7"/>
                <w:szCs w:val="17"/>
              </w:rPr>
              <w:t xml:space="preserve">0.749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&gt;0.70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IPI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r(IPI, IFS_v3)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7"/>
                <w:szCs w:val="17"/>
              </w:rPr>
              <w:t xml:space="preserve">-0.163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Discr.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IMO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max ≤ 1.0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2222"/>
                <w:sz w:val="17"/>
                <w:szCs w:val="17"/>
              </w:rPr>
              <w:t xml:space="preserve">1.250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2E"/>
                <w:sz w:val="17"/>
                <w:szCs w:val="17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≤1.0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IRO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Cronbach 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0.798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0.842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7"/>
                <w:szCs w:val="17"/>
              </w:rPr>
              <w:t xml:space="preserve">0.842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&gt;0.70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IEF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Cronbach 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0.919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0.919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7"/>
                <w:szCs w:val="17"/>
              </w:rPr>
              <w:t xml:space="preserve">0.919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&gt;0.70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ITEA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Estabilidad pesos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7"/>
                <w:szCs w:val="17"/>
              </w:rPr>
              <w:t xml:space="preserve">0.987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0.987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2E"/>
                <w:sz w:val="17"/>
                <w:szCs w:val="17"/>
              </w:rPr>
              <w:t xml:space="preserve">0.987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&gt;0.90</w:t>
            </w:r>
          </w:p>
        </w:tc>
        <w:tc>
          <w:tcPr>
            <w:tcW w:type="dxa" w:w="14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10. Hoja CHANGELOG (NUEVA)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Registro completo de cambios v1.0→v1.3. Columnas: Versión, Componente, Cambio, Tipo (MAJOR/MINOR/BUGFIX/DESCARTADO). Incluye el intento fallido del log-percentil GEE (documentado como contribución negativa).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</w:rPr>
        <w:t xml:space="preserve">Apéndice: Equivalencia de columnas v1.1 → v1.3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00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 v1.1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Columna v1.3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Cambio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IRO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IRO_v3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Fórmula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Sin CS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CS (=IFS)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ELIMINADA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Redundancia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IFS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IFS_v3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Fórmula+pesos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Sin CI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CI norm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— (en IFS)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IPI (nuevo)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8º indicador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IPI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NUEVO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CI_norm extraído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GEE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GEE_v3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Fórmula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OLS calibrado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IMO creación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IMO_v3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Fórmula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Hurdle+cap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IMO novedad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IMO_muta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Renombrado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Binario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IMO neto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IMO_intensidad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Renombrado</w:t>
            </w:r>
          </w:p>
        </w:tc>
        <w:tc>
          <w:tcPr>
            <w:tcW w:type="dxa" w:w="20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[0,1]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5"/>
        <w:szCs w:val="15"/>
      </w:rPr>
      <w:t xml:space="preserve">Pág. </w:t>
    </w:r>
    <w:r>
      <w:rPr>
        <w:rFonts w:ascii="Arial" w:cs="Arial" w:eastAsia="Arial" w:hAnsi="Arial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5"/>
        <w:szCs w:val="15"/>
      </w:rPr>
      <w:t xml:space="preserve">ITEA v1.3 — Guía Didáctica del Workbook</w:t>
    </w:r>
    <w:r>
      <w:rPr>
        <w:rFonts w:ascii="Arial" w:cs="Arial" w:eastAsia="Arial" w:hAnsi="Arial"/>
        <w:color w:val="888888"/>
        <w:sz w:val="15"/>
        <w:szCs w:val="15"/>
      </w:rPr>
      <w:t xml:space="preserve">	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98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B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2026-04-14T07:39:45.831Z</dcterms:created>
  <dcterms:modified xsi:type="dcterms:W3CDTF">2026-04-14T07:39:45.831Z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