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6"/>
          <w:szCs w:val="36"/>
        </w:rPr>
        <w:t xml:space="preserve">ITEA v1.3 USER GUIDE</w:t>
      </w:r>
    </w:p>
    <w:p>
      <w:pPr>
        <w:spacing w:after="200" w:before="7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5984"/>
          <w:sz w:val="22"/>
          <w:szCs w:val="22"/>
        </w:rPr>
        <w:t xml:space="preserve">Research Data Workbook — Triple Automation Exposure Index</w:t>
      </w:r>
    </w:p>
    <w:p>
      <w:pPr>
        <w:spacing w:after="300" w:before="7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8 indicators · 1,016 O*NET 2024 occupations · 9 sheets · ~40 columns · ~1,157,000 cells</w:t>
      </w:r>
    </w:p>
    <w:p>
      <w:pPr>
        <w:pBdr>
          <w:top w:val="single" w:color="1B3A5C" w:sz="6" w:space="8"/>
          <w:bottom w:val="single" w:color="1B3A5C" w:sz="6" w:space="8"/>
        </w:pBdr>
        <w:spacing w:after="80" w:before="8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Alberto García-Lluis Valencia — Universidad Rey Juan Carlos
Validation standard: performance (Lüdecke et al., 2021, JOSS 6(60), 3139)</w:t>
      </w:r>
    </w:p>
    <w:p>
      <w:pPr>
        <w:spacing w:after="400" w:before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April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Introduction: What is ITEA and How to Use This Guide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ITEA Framework (Triple Automation Exposure Index) is a composite indicator system designed to measure, predict, and characterize the impact of automation technologies (classical, generative AI, and agentic AI) on occupational profiles. It operates at the task level using O*NET 2024 data and aggregates results to 1,016 occupations.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This guide is the reference document for understanding the contents of Research_Data_Workbook_ITEA_v1_3_COMPLETO.xlsx. Its purpose is to enable any researcher, reviewer, or collaborator to identify what each column represents, interpret high and low values, understand the methodological evolution (v1.0 → v1.3), and verify framework validity.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Reading convention: </w:t>
      </w:r>
      <w:r>
        <w:rPr>
          <w:rFonts w:ascii="Arial" w:cs="Arial" w:eastAsia="Arial" w:hAnsi="Arial"/>
          <w:sz w:val="20"/>
          <w:szCs w:val="20"/>
        </w:rPr>
        <w:t xml:space="preserve">All indicators are normalized to [0, 1] except AEI (own scale, empirical range 34.8–113.5). Header colors visually identify each indicator group.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Workbook Structure: 9 Sheets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3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Sheet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Master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ITEA_8_INDICATORS_v1.3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Central table: 1,016 occupations × 8 indicators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Master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ITEA_SECTORS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Aggregation by SOC Major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Master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TOP_BOTTOM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Top 20 and Bottom 20 by AEI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Master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DISTRIBUTION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Descriptive statistics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CORRELATIONS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Inter-indicator correlation matrix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METHODOLOGY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Updated formulas and weights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VALIDATION_v1.3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Metrics comparison v1.1→v1.3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Infrastructure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README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Workbook metadata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Infrastructure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CHANGELOG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Complete change history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Recommendation: start with README for key formulas, then ITEA_8_INDICATORS_v1.3 for occupational analysis, and VALIDATION_v1.3 for robustness assessment.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Sheet ITEA_8_INDICATORS_v1.3: The Master Table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1,016 rows (one per O*NET 2024 occupation) and 40 columns, organized in 9 color-coded groups.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3.1. Identification Group (columns 1–5)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8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SOC 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O*NET-SOC 2019 code (10 chars)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Occupations.xlsx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13-2041.00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Occupation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Official name in English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Occupations.xlsx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Credit Analysts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SOC Major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SOC major group (2 digits)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Occupations.xlsx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Job Zone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Preparation level (1–5)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Occupations.xlsx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Stratum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 professional level (1–4)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Computed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</w:t>
            </w:r>
          </w:p>
        </w:tc>
      </w:tr>
    </w:tbl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Stratum Assignment Rules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200"/>
        <w:gridCol w:w="330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Stratum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SOC Groups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Logic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Non-skilled technician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35,37,39,45,47,49,51,53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Manual, basic service, production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Skilled technician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15,17,19,21,29,31,33,41,43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Technical, healthcare, scientific, administrative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11 (exc. C-suite),13,23,25,27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Middle management, financial, legal, educational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Executive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11-1011, 11-1021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Chief Executives, General/Ops Managers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3.2. ITEA Group — Exposure (columns 6–12)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Interpretation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AEI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%HIGH×1 + %TRANS×0.5 + %HIGH_ALGO×2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Risk proxy. Range 34.8–113.5. &gt;80 = very high exposure.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EAC [0-1]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%HIGH_Auto / 100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Tasks automatable by RPA/robots. High in office (SOC 43) and production (SOC 51).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EIG [0-1]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Prob_TRANS_Mean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Exposure to LLMs. Most cognitive occupations &gt;0.85. Within-range variation matters.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EIA [0-1]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%HIGH_Algo / 100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Vulnerability to autonomous agents. Highest in analysis, finance, engineering.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 Global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0.25·EAC + 0.45·EIG + 0.30·EIA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Total exposure with fixed weights.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 Stratif.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α₁·EAC + α₂·EIG + α₃·EIA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Recommended. Stratum-specific weights.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 Risk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Category thresholds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Very High (≥0.60), High, Moderate, Low, Very Low (&lt;0.15).</w:t>
            </w:r>
          </w:p>
        </w:tc>
      </w:tr>
    </w:tbl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Weights by Stratum (Appendix C)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33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Stratum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α₁ (EAC)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α₂ (EIG)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α₃ (EIA)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 (Non-skilled)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0.25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Higher weight to robots and RPA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 (Skilled tech.)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0.25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Generative AI as primary vector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 (Manager)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0.40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Agentic AI relevant in coordination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4 (Executive)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0.50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Strategic planning vulnerable to agents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Methodological note (v1.2+): </w:t>
      </w:r>
      <w:r>
        <w:rPr>
          <w:rFonts w:ascii="Arial" w:cs="Arial" w:eastAsia="Arial" w:hAnsi="Arial"/>
          <w:sz w:val="20"/>
          <w:szCs w:val="20"/>
        </w:rPr>
        <w:t xml:space="preserve">ITEA is a formative index. Cronbach’s α is not applicable. Validity: VIF 1.01–1.21, weight stability ρ=0.987, r(ITEA,AEI)=0.572.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3.3. IRO_v3 Group — Resilience (columns 13–16)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CC2222"/>
          <w:sz w:val="20"/>
          <w:szCs w:val="20"/>
        </w:rPr>
        <w:t xml:space="preserve">Change v1.2+: </w:t>
      </w:r>
      <w:r>
        <w:rPr>
          <w:rFonts w:ascii="Arial" w:cs="Arial" w:eastAsia="Arial" w:hAnsi="Arial"/>
          <w:sz w:val="20"/>
          <w:szCs w:val="20"/>
        </w:rPr>
        <w:t xml:space="preserve">CS (=IFS) removed due to redundancy (r=0.507 in v1.1). IRO now measures adaptation and resistance through three components.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4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Interpretation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IRO_v3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0.35·CA + 0.35·CC + 0.30·SI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Automation resistance. α=0.842. N=862.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mean(Innovation, Adaptability, ...)/10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Human profile plasticity. &gt;0.60 = innovative.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0.5·Skills_cog + 0.5·Abilities_reas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Intellectual sophistication. &gt;0.60 = complex reasoning.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0.5·Regulation + 0.3·Public_emp + 0.2·Union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Exogenous protection (licensing, public employment, unions).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Documented limitation: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r(IRO_v3, IFS_v3)=0.586 due to structural overlap CC↔DHS/CC_comm. Conceptual, not methodological.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Practical interpretation: High ITEA + high IRO (physicians) = ‘assisted transformation’. High ITEA + low IRO (data entry) = ‘likely substitution’.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3.4. ICT Group — Complementarity (columns 17–20)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4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Interpretation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0.35·ITD + 0.30·ATE + 0.35·(1-DTS)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&gt;0.75 = complementary technology. &lt;0.55 = substitutive.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mean(WorkWithComputers, CompElec_KN, Documenting)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Degree of digitization.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N_hot_tech / N_total_tech_skills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Proportion of Hot Technology skills.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EAC_proxy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Substitutive technology density.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ICT is also a formative index. The negative α (-0.214) is expected by design.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3.5. IFS_v3 + IPI Group — Social Friction &amp; Presence (cols 21–25)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CC2222"/>
          <w:sz w:val="20"/>
          <w:szCs w:val="20"/>
        </w:rPr>
        <w:t xml:space="preserve">Change v1.3: </w:t>
      </w:r>
      <w:r>
        <w:rPr>
          <w:rFonts w:ascii="Arial" w:cs="Arial" w:eastAsia="Arial" w:hAnsi="Arial"/>
          <w:sz w:val="20"/>
          <w:szCs w:val="20"/>
        </w:rPr>
        <w:t xml:space="preserve">CI extracted from IFS and converted to IPI (8th indicator). Removing CI raises α from 0.516 to 0.749.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4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Interpretation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IFS_v3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0.35·CDE + 0.40·DHS + 0.25·CC_comm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AI-resistant social friction. α=0.749. N=894.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mean(Conflict, Unpleasant, Violent)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Emotional demand. &gt;0.60 = conflict management.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DHS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mean(Social Percept., Coordination, ...)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Social sophistication. High in managers, therapists.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CC_comm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mean(Oral/Written Comp/Expr, Speech...)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Communication volume and precision.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IPI (NEW)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0.7·CI_in_person + 0.3·(1-CI_remote)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Physical presence. Mean=0.609, SD=0.089.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IPI discriminant validity: </w:t>
      </w:r>
      <w:r>
        <w:rPr>
          <w:rFonts w:ascii="Arial" w:cs="Arial" w:eastAsia="Arial" w:hAnsi="Arial"/>
          <w:sz w:val="20"/>
          <w:szCs w:val="20"/>
        </w:rPr>
        <w:t xml:space="preserve">r(IPI, IFS_v3)=-0.163, r(IPI, IRO_v3)=-0.452. Independent constructs.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IPI &gt; 0.75: high physical presence (waitstaff, police). IPI &lt; 0.40: remote work viable (data analysts, teleoperators).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3.6. IEF Group — Physical Exposure (columns 26–29)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4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Interpretation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IEF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0.35·DPF + 0.30·ERA + 0.35·DCF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α=0.919. &gt;0.45 = construction, agriculture. &lt;0.15 = desk work.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DPF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Mean of 9 time variables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Posture: sitting, climbing, kneeling, repetitive...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Mean of 12 frequency variables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Risks: noise, extreme temps, pollutants...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DCF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Mean of 19 psychomotor Abilities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Strength, manual dexterity, coordination, stamina.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Orthogonal to ITEA: r(ITEA, IEF) = -0.708, confirming the cognitive-physical dichotomy.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3.7. GEE_v3 Group — Education/Experience (columns 30–34)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CC2222"/>
          <w:sz w:val="20"/>
          <w:szCs w:val="20"/>
        </w:rPr>
        <w:t xml:space="preserve">Change v1.2+: </w:t>
      </w:r>
      <w:r>
        <w:rPr>
          <w:rFonts w:ascii="Arial" w:cs="Arial" w:eastAsia="Arial" w:hAnsi="Arial"/>
          <w:sz w:val="20"/>
          <w:szCs w:val="20"/>
        </w:rPr>
        <w:t xml:space="preserve">OLS calibration. ρ(GEE,JZ)=0.927 (v1.1: 0.259).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4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Interpretation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GEE_v3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normalize(0.215·C_RL + 0.004·C_RW)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&gt;0.75 = education-dominated (physicians, lawyers). &lt;0.25 = experience-dominated (artisans).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C_RL (years)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Σ(years_k × pct_k)/100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Average years of education. 16.0 = bachelor’s degree.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C_RW (months)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Σ(months_k × pct_k)/100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Months of related work experience.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C_PT (months)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(reference)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Not significant in OLS (p&gt;0.10). Retained as reference.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C_OJ (months)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(reference)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Not significant in OLS (p&gt;0.10). Retained as reference.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Calibration: OLS of JZ ~ SVP (R²=0.854, N=878). Only C_RL (β=0.215, p&lt;0.001) and C_RW (β=0.004, p=0.03) significant.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Discarded alternative v1.3: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Within-JZ log-percentile (ρ=-0.02). Within-group normalization destroys between-group variance.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3.8. IMO_v3 Group — Occupational Mutation (columns 35–38)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CC2222"/>
          <w:sz w:val="20"/>
          <w:szCs w:val="20"/>
        </w:rPr>
        <w:t xml:space="preserve">Change v1.2+: </w:t>
      </w:r>
      <w:r>
        <w:rPr>
          <w:rFonts w:ascii="Arial" w:cs="Arial" w:eastAsia="Arial" w:hAnsi="Arial"/>
          <w:sz w:val="20"/>
          <w:szCs w:val="20"/>
        </w:rPr>
        <w:t xml:space="preserve">Hurdle model + cap ≤1.0 (Shampooers 1.25→1.00).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4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Interpretation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IMO_v3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muta × intensity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76.9% of occupations = 0 (stable).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IMO_muta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 if ratio_v1 &gt; 0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Binary: has the occupation gained emerging tasks?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IMO_intensity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min(1, log(1+r)/log(2))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Change magnitude. Logarithmic scale.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 Typology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Based on muta &amp; intensity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Stable / Mild / Moderate / Transformation.</w:t>
            </w:r>
          </w:p>
        </w:tc>
      </w:tr>
    </w:tbl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Complete IMO Typology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5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IMO_muta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Intensity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Typology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Stable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Surgeons, therapists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&lt; 0.3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Mild mutation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Financial analysts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0.3 – 0.7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Moderate mutation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Data scientists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 0.7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Transformation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AI specialists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3.9. AEI Classification Group (columns 39–40)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% HIGH Auto: percentage of tasks with direct automation (EAC input). % HIGH Algo: percentage with high algorithmic exposure (EIA input).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Aggregation and Ranking Sheets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4.1. Sheet ITEA_SECTORS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Aggregates 8 indicators at SOC Major Group level (22 groups). Each row contains the arithmetic mean. Observable patterns: SOC 15 (IT): high AEI (66.2) + high ICT (0.70) = complementary exposure. SOC 47 (Construction): low AEI (47.4) + high IEF (0.51) = physical demand. SOC 29 (Healthcare): high IRO (0.37) + high IFS (0.57) = social resilience.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4.2. Sheet TOP_BOTTOM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Top 20: dominated by financial analysis (Credit Analysts, Budget Analysts), research (Chemists, Pathologists), and business intelligence. All with EIG &gt; 0.94. Bottom 20: in-person occupations with strong physical or social component: Exercise Trainers, OT Assistants, Electricians. All with IEF &gt; 0.30 or IFS &gt; 0.55.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4.3. Sheet DISTRIBUTION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Descriptive statistics for all 8+1 indicators. Includes N, N_missing, Mean, SD, Min, Max.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200"/>
        <w:gridCol w:w="1200"/>
        <w:gridCol w:w="1200"/>
        <w:gridCol w:w="33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Min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AEI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923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55.24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11.13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34.8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113.5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 Stratif.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923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0.384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0.115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0.173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IRO_v3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0.151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0.532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IFS_v3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0.474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0.237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0.802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0.609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0.266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0.880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0.137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0.066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0.648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GEE_v3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0.477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0.069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IMO_v3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1016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1.000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Validation and Methodology Sheets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5.1. Sheet CORRELATIONS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Pearson correlation matrix across 8 indicators + AEI. Key correlations: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9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Interpretation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 – IEF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-0.708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Cognitive-physical dichotomy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 – AEI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0.572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Related but non-identical constructs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IRO_v3 – IFS_v3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0.586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Documented structural overlap ⚠️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IRO_v3 – GEE_v3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0.904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Potential redundancy for v1.4 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IPI – IFS_v3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-0.163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Orthogonal (discriminant validity)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IMO_v3 – 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≈0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Orthogonal (good discrimination) ✅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 on r(IRO_v3, GEE_v3)=0.904: </w:t>
      </w:r>
      <w:r>
        <w:rPr>
          <w:rFonts w:ascii="Arial" w:cs="Arial" w:eastAsia="Arial" w:hAnsi="Arial"/>
          <w:sz w:val="20"/>
          <w:szCs w:val="20"/>
        </w:rPr>
        <w:t xml:space="preserve">82% of IRO variance is explained by GEE. Suggests resilience is largely determined by educational level. Evaluate in v1.4 whether both indicators are needed.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5.2. Sheet METHODOLOGY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v1.3 formulas, stratified weights (Appendix C), and cumulative improvement table v1.0→v1.3.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5.3. Sheet VALIDATION_v1.3 (new)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000"/>
        <w:gridCol w:w="1000"/>
        <w:gridCol w:w="1000"/>
        <w:gridCol w:w="1000"/>
        <w:gridCol w:w="13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v1.1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v1.2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v1.3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Spearman ρ vs JZ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&gt;0.50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IRO-IFS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Pearson r (vs IFS_v1)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&lt;0.30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⚠️ IMPROVED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Cronbach 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0.749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0.749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&gt;0.70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r(IPI, IFS_v3)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-0.163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Discrim.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max ≤ 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≤1.0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Cronbach 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0.798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0.842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0.842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&gt;0.70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Cronbach 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&gt;0.70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Weight stability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&gt;0.90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5.4. Sheet CHANGELOG (new)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Complete change log v1.0→v1.3. Includes the failed GEE log-percentile attempt (documented as negative contribution).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Sheet README: Metadata and Contact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Name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 v1.3 — Triple Automation Exposure Index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Version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1.3 (corrected)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Date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Source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O*NET 2024 (v29.1)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 occupations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1,016 (923 with AEI; 862 with IRO; 894 with IFS/IPI; 878 with GEE)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 indicators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 (ITEA, IRO, ICT, IFS, IPI, IEF, GEE, IMO)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Author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Alberto García-Lluis Valencia — URJC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Contact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alb.valencia@gmail.com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Standard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performance (Lüdecke et al., 2021, JOSS 6(60), 3139)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Methodological Evolution: v1.0 → v1.3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7.1. Summary of Changes by Version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400"/>
        <w:gridCol w:w="250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v1.0→v1.1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Conceptual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IRO: new SI dimension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Broaden resilience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v1.0→v1.1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Operational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ITEA: additive IM+RT aggregation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Simplify weights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v1.0→v1.1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Statistical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Uncertainty bootstrap (§11.5)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Occupations N&lt;30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v1.1→v1.2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MAJOR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GEE: OLS calibration (ρ 0.259→0.927)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v1.1→v1.2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MAJOR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IRO: CS=IFS decoupling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v1.1→v1.2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MAJOR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IMO: Hurdle + cap ≤1.0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v1.1→v1.2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MINOR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IFS: CI removal (α 0.516→0.749)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v1.1→v1.2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BUGFIX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 max Shampooers 1.25→1.00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v1.2→v1.3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MAJOR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IPI: new 8th indicator (CI_norm)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Discriminant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v1.2→v1.3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MINOR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IFS: weights 0.35/0.40/0.25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Theoretical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v1.2→v1.3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DISCARDED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GEE within-JZ log-percentile (ρ=-0.02)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Documented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7.2. Documented Improvement: The Failed GEE Log-Percentile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within-JZ log-percentile GEE was explored: (RL_pct_jz^0.7) / (RL_pct_jz^0.7 + EXP_pct_jz^0.7). Result: ρ = -0.02 with Job Zone. Within-group normalization destroys between-group variance, nullifying discriminant capacity. This confirms that OLS calibration (v1.2) is superior and that cross-stratum comparison requires absolute-scale metrics.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7.3. Known and Documented Limitations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5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Limitation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Plan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r(IRO_v3, IFS_v3)=0.586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Exceeds &lt;0.30 threshold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v1.4: evaluate merger or orthogonal component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r(IRO_v3, GEE_v3)=0.904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Potential redundancy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v1.4: evaluate if both indicators are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 N=862 (85%)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SOC 55 without data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Documented in §4.3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GEE=1.0 in extremes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Obstetricians (C_RL=20.19)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Correct interpretation; no correction needed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Appendix: Column Equivalence v1.1 → v1.3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5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v1.1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v1.3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IRO_v3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Formula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Without 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CS (=IFS)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REMOVED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Redundancy (r=0.507)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IFS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IFS_v3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Formula+weights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Without CI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CI norm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Renamed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8th indicator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GEE_v3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Formula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OLS calibrated (ρ 0.927)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 creation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IMO_v3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Formula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Hurdle+cap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 novelty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IMO_muta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Renamed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Binary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 net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IMO_intensity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Renamed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[0,1]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9. References</w:t>
      </w:r>
    </w:p>
    <w:p>
      <w:pPr>
        <w:spacing w:after="70" w:before="7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Lüdecke, D., Ben-Shachar, M. S., Patil, I., Waggoner, P. &amp; Makowski, D. (2021).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performance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: An R Package for Assessment, Comparison and Testing of Statistical Models. JOSS, 6(60), 3139.</w:t>
      </w:r>
    </w:p>
    <w:p>
      <w:pPr>
        <w:spacing w:after="70" w:before="7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Autor, D. H. &amp; Handel, M. J. (2013). Putting Tasks to the Test.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Journal of Labor Economics, 31(2), S59-S96.</w:t>
      </w:r>
    </w:p>
    <w:p>
      <w:pPr>
        <w:spacing w:after="70" w:before="7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Card, D. (1999). The Causal Effect of Education on Earnings.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Handbook of Labor Economics, 3, 1801-1863.</w:t>
      </w:r>
    </w:p>
    <w:p>
      <w:pPr>
        <w:spacing w:after="70" w:before="7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Diamantopoulos, A. &amp; Winklhofer, H. M. (2001). Index Construction with Formative Indicators.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JMR, 38(2), 269-277.</w:t>
      </w:r>
    </w:p>
    <w:p>
      <w:pPr>
        <w:spacing w:after="70" w:before="7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MacKinnon, J. G. &amp; White, H. (1985). Heteroskedasticity-Consistent Covariance Matrix Estimators.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J. Econometrics, 29(3), 305-325.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top w:val="single" w:color="1B3A5C" w:sz="4" w:space="8"/>
        </w:pBdr>
        <w:spacing w:before="300"/>
      </w:pPr>
    </w:p>
    <w:p>
      <w:pPr>
        <w:spacing w:after="70" w:before="7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For queries or data access: alb.valencia@gmail.com</w:t>
      </w:r>
    </w:p>
    <w:p>
      <w:pPr>
        <w:spacing w:after="70" w:before="7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Full documentation: ITEA v1.3 Framework — Methodological Document and Improvement Annex.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p.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4"/>
        <w:szCs w:val="14"/>
      </w:rPr>
      <w:t xml:space="preserve">ITEA v1.3 USER GUIDE</w:t>
    </w:r>
    <w:r>
      <w:rPr>
        <w:rFonts w:ascii="Arial" w:cs="Arial" w:eastAsia="Arial" w:hAnsi="Arial"/>
        <w:color w:val="888888"/>
        <w:sz w:val="14"/>
        <w:szCs w:val="14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4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98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6B9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2026-04-14T08:23:03.966Z</dcterms:created>
  <dcterms:modified xsi:type="dcterms:W3CDTF">2026-04-14T08:23:03.967Z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