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40"/>
          <w:szCs w:val="40"/>
        </w:rPr>
        <w:t xml:space="preserve">FRAMEWORK ITEA</w:t>
      </w:r>
    </w:p>
    <w:p>
      <w:pPr>
        <w:spacing w:after="20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5984"/>
          <w:sz w:val="26"/>
          <w:szCs w:val="26"/>
        </w:rPr>
        <w:t xml:space="preserve">Índice de Triple Exposición a la Automatización</w:t>
      </w:r>
    </w:p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</w:rPr>
        <w:t xml:space="preserve">Documento Metodológico v1.2 — Secciones Actualizadas</w:t>
      </w:r>
    </w:p>
    <w:p>
      <w:pPr>
        <w:spacing w:after="10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Abril 2026 | O*NET 2024 (v29.1) | 923 ocupaciones</w:t>
      </w:r>
    </w:p>
    <w:p>
      <w:pPr>
        <w:spacing w:after="40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Alberto García-Lluis Valencia — Universidad Rey Juan Carlos</w:t>
      </w:r>
    </w:p>
    <w:p>
      <w:pPr>
        <w:spacing w:after="20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Este documento contiene únicamente las secciones modificadas respecto a v1.1. Las secciones no listadas (1, 2, 3.1–3.2, 5, 7, 10) permanecen inalteradas.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3.1. Nota metodológica sobre ITEA (nueva v1.2)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ITEA es un índice formativo</w:t>
      </w:r>
      <w:r>
        <w:rPr>
          <w:rFonts w:ascii="Arial" w:cs="Arial" w:eastAsia="Arial" w:hAnsi="Arial"/>
          <w:sz w:val="22"/>
          <w:szCs w:val="22"/>
        </w:rPr>
        <w:t xml:space="preserve">, no un constructo reflexivo. Los tres vectores tecnológicos (EAC, EIG, EIA) son componentes causales del índice, no manifestaciones de una variable latente común. En consecuencia: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Alpha de Cronbach no es aplicable como métrica de fiabilidad (el α = -0.327 es esperable y no indica problema). La validez de ITEA se establece mediante: (a) VIF &lt; 5 para los tres componentes (cumplido: 1.01–1.21), (b) estabilidad de pesos ante perturbaciones de ±20% (ρ &gt; 0.90, cumplido: 0.987+), (c) validez de criterio (correlación con AEI: r = 0.572, p &lt; 0.001).</w:t>
      </w:r>
    </w:p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Referencia: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Diamantopoulos &amp; Winklhofer (2001). Index construction with formative indicators. Journal of Marketing Research, 38(2), 269–277.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Validación §3 (v1.2)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50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v1.2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VIF máximo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1.21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1.21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✅ &lt; 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Estabilidad pesos (ρ mín)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0.987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0.987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✅ &gt; 0.90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r(ITEA, AEI)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0.572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0.572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✅ &gt; 0.50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Indicador 2: IRO — Índice de Resiliencia Ocupacional (v1.2)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4.2.3. Complejidad social (CS) — ELIMINADA en v1.2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CC2222"/>
          <w:sz w:val="22"/>
          <w:szCs w:val="22"/>
        </w:rPr>
        <w:t xml:space="preserve">Cambio: </w:t>
      </w:r>
      <w:r>
        <w:rPr>
          <w:rFonts w:ascii="Arial" w:cs="Arial" w:eastAsia="Arial" w:hAnsi="Arial"/>
          <w:sz w:val="22"/>
          <w:szCs w:val="22"/>
        </w:rPr>
        <w:t xml:space="preserve">La dimensión CS (= IFS) se elimina del cálculo de IRO. En v1.1, CS era idéntica al indicador IFS, generando redundancia (r = 0.507). Para desacoplar los indicadores, IRO v1.2 se calcula únicamente con las dimensiones no compartidas: Capacidad Adaptativa (CA), Complejidad Cognitiva (CC) y Seguridad Institucional (SI).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4.3. Agregación (v1.2)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Fórmula v1.2: </w:t>
      </w:r>
      <w:r>
        <w:rPr>
          <w:rFonts w:ascii="Arial" w:cs="Arial" w:eastAsia="Arial" w:hAnsi="Arial"/>
          <w:sz w:val="22"/>
          <w:szCs w:val="22"/>
        </w:rPr>
        <w:t xml:space="preserve">IRO = β₁·CA + β₂·CC + β₃·SI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Pesos: β₁ = 0.35, β₂ = 0.35, β₃ = 0.30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@param CA: Capacidad adaptativa [0,1]. Fuente: Work_Styles (Innovation, Adaptability, Tolerance, Curiosity, Initiative). Escala DR 0–10, normalizada.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@param CC: Complejidad cognitiva [0,1]. Fuente: Skills (Critical Thinking, Complex Problem Solving, Systems Analysis) + Abilities (Inductive/Deductive Reasoning, Originality). Escala IM 1–5, normalizada.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@param SI: Seguridad institucional [0,1]. Fuente: BLS Licensing, OES, CPS. Proxy: 0.5·Regulación + 0.3·Empleo_público + 0.2·Sindicalización.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@return IRO ∈ [0, 1]. Valores altos indican mayor resiliencia ocupacional frente a automatización.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@examples Market Research Analysts (13-1161): CA=0.04, CC=0.672, SI=0.40 → IRO_v2 = 0.35(0.04) + 0.35(0.672) + 0.30(0.40) = 0.369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Validación §4 (v1.2)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50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v1.2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Cronbach α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0.798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0.842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✅ &gt; 0.70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r(IRO, IFS_v1)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18"/>
                <w:szCs w:val="18"/>
              </w:rPr>
              <w:t xml:space="preserve">0.507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18"/>
                <w:szCs w:val="18"/>
              </w:rPr>
              <w:t xml:space="preserve">0.374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18"/>
                <w:szCs w:val="18"/>
              </w:rPr>
              <w:t xml:space="preserve">⚠️ Mejora parcial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 dimensiones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(CA,CC,CS,SI)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(CA,CC,SI)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 eliminada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Limitación conocida: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r(IRO_v2, IFS_v2) = 0.632. CC correlaciona estructuralmente con DHS y CC_comm en O*NET. Esta correlación residual refleja solapamiento teórico, no error de cálculo. Investigar en v1.3 si un constructo unificado «capital humano no automatizable» es más parsimonioso.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5.1. Nota metodológica sobre ICT (nueva v1.2)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ICT es un índice formativo de complementariedad neta. El α negativo (-0.214) es esperable por diseño: ITD (dependencia de TI), ATE (adaptabilidad tecnológica) y DTS (desplazamiento tecnológico) son dimensiones intencionalmente divergentes que no deben covariar positivamente. La validez de ICT se establece por su interpretabilidad sustantiva y por la distribución resultante (Media=0.661, DE=0.060), consistente con la alta penetración tecnológica en el mercado laboral 2024–2026.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Indicador 4: IFS — Índice de Fricción Social (v1.2)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6.2.1. Contexto interpersonal (CI) — ELIMINADO en v1.2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CC2222"/>
          <w:sz w:val="22"/>
          <w:szCs w:val="22"/>
        </w:rPr>
        <w:t xml:space="preserve">Cambio: </w:t>
      </w:r>
      <w:r>
        <w:rPr>
          <w:rFonts w:ascii="Arial" w:cs="Arial" w:eastAsia="Arial" w:hAnsi="Arial"/>
          <w:sz w:val="22"/>
          <w:szCs w:val="22"/>
        </w:rPr>
        <w:t xml:space="preserve">CI se elimina del cálculo de IFS. El análisis de eliminación de ítems muestra que retirar CI eleva α de 0.516 a 0.749 (Δ = +0.233). CI mide un constructo distinto (intensidad de presencialidad) al resto de IFS (competencias sociales). Se recomienda su tratamiento como indicador independiente (IPI) en futuras versiones.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6.3. Agregación (v1.2)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Fórmula v1.2: </w:t>
      </w:r>
      <w:r>
        <w:rPr>
          <w:rFonts w:ascii="Arial" w:cs="Arial" w:eastAsia="Arial" w:hAnsi="Arial"/>
          <w:sz w:val="22"/>
          <w:szCs w:val="22"/>
        </w:rPr>
        <w:t xml:space="preserve">IFS = δ₁·CDE + δ₂·DHS + δ₃·CC_comm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Pesos: δ₁ = 0.30, δ₂ = 0.40, δ₃ = 0.30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@param CDE: Conflicto y demanda emocional [0,1]. Fuente: Work_Context (Conflict, Unpleasant People, Violence, Safety, Results).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@param DHS: Demanda de habilidades sociales [0,1]. Fuente: Skills (Social Perceptiveness, Coordination, Persuasion, Negotiation, Instructing, Service Orientation).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@param CC_comm: Capacidades comunicativas [0,1]. Fuente: Abilities (Oral/Written Comprehension/Expression, Speech Recognition/Clarity).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@return IFS ∈ [0, 1]. Valores altos indican alta fricción social (resistencia a automatización).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Validación §6 (v1.2)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50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v1.2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Cronbach α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18"/>
                <w:szCs w:val="18"/>
              </w:rPr>
              <w:t xml:space="preserve">0.516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0.749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✅ &gt; 0.70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 dimensiones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(CI,CDE,DHS,CC)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(CDE,DHS,CC)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CI eliminado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Indicador 6: GEE — Gradiente Educación-Experiencia (v1.2)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8.1. Fundamento conceptual (sin cambios)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GEE captura la contribución relativa de la educación formal frente al aprendizaje experiencial. La hipótesis subyacente se mantiene: ocupaciones dominadas por educación formal codificada son más susceptibles a la automatización del conocimiento. Base teórica: Polanyi (1966), Nonaka y Takeuchi (1995), Autor y Dorn (2013).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8.2. Construcción (v1.2 — REFORMULADO)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CC2222"/>
          <w:sz w:val="22"/>
          <w:szCs w:val="22"/>
        </w:rPr>
        <w:t xml:space="preserve">Advertencia: </w:t>
      </w:r>
      <w:r>
        <w:rPr>
          <w:rFonts w:ascii="Arial" w:cs="Arial" w:eastAsia="Arial" w:hAnsi="Arial"/>
          <w:sz w:val="22"/>
          <w:szCs w:val="22"/>
        </w:rPr>
        <w:t xml:space="preserve">La fórmula de v1.1 (ratio C_RL / [C_RL + C_EXP]) presenta ρ = 0.259 con Job Zone, muy por debajo del criterio §8.3 (ρ &gt; 0.60). La conversión lineal de años/meses destruye la ordinalidad del Job Zone. Se reemplaza completamente.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Pasos 1–3: Sin cambios (conversión de categorías RL/RW/PT/OJ a años y meses equivalentes, tablas idénticas a v1.1).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4 (v1.2): </w:t>
      </w:r>
      <w:r>
        <w:rPr>
          <w:rFonts w:ascii="Arial" w:cs="Arial" w:eastAsia="Arial" w:hAnsi="Arial"/>
          <w:sz w:val="22"/>
          <w:szCs w:val="22"/>
        </w:rPr>
        <w:t xml:space="preserve">Calibración empírica mediante regresión OLS de Job Zone sobre los componentes SVP: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Modelo: Job Zone = 1.060 + 0.215 · C_RL_años + 0.004 · C_RW_meses + (-0.006 · C_PT + 0.001 · C_OJ) [n.s.]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R² = 0.854. C_RL domina (β = 0.215, p &lt; 10⁻³⁰⁰). C_RW aporta señal marginal (β = 0.004, p &lt; 0.001). C_PT y C_OJ no son significativos (p &gt; 0.10).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7A2E"/>
          <w:sz w:val="22"/>
          <w:szCs w:val="22"/>
        </w:rPr>
        <w:t xml:space="preserve">Fórmula v1.2: </w:t>
      </w:r>
      <w:r>
        <w:rPr>
          <w:rFonts w:ascii="Arial" w:cs="Arial" w:eastAsia="Arial" w:hAnsi="Arial"/>
          <w:sz w:val="22"/>
          <w:szCs w:val="22"/>
        </w:rPr>
        <w:t xml:space="preserve">GEE_raw = 0.215 · C_RL_años + 0.004 · C_RW_meses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Normalización: </w:t>
      </w:r>
      <w:r>
        <w:rPr>
          <w:rFonts w:ascii="Arial" w:cs="Arial" w:eastAsia="Arial" w:hAnsi="Arial"/>
          <w:sz w:val="22"/>
          <w:szCs w:val="22"/>
        </w:rPr>
        <w:t xml:space="preserve">GEE_v2 = (GEE_raw − min) / (max − min) → GEE_v2 ∈ [0, 1]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@param C_RL: Centroide educativo en años equivalentes. Fuente: Education (RL, 12 categorías).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@param C_RW: Centroide experiencia laboral en meses. Fuente: Experience (RW, 11 categorías).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@return GEE ∈ [0, 1]. Valores altos indican dominancia de educación formal; valores bajos, dominancia de experiencia práctica.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@examples Credit Analysts (13-2041): C_RL=13.10, C_RW=23.85 → GEE_raw = 0.215(13.10) + 0.004(23.85) = 2.912 → GEE_v2 = 0.625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8.3. Validación con Job Zone (v1.2)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1600"/>
        <w:gridCol w:w="150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Spearman ρ(GEE, JZ)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18"/>
                <w:szCs w:val="18"/>
              </w:rPr>
              <w:t xml:space="preserve">0.259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0.927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&gt; 0.50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Separación por Job Zone: JZ2 (M=0.244, DE=0.089) → JZ3 (0.456, 0.095) → JZ4 (0.623, 0.058) → JZ5 (0.803, 0.097). El solapamiento entre distribuciones adyacentes es mínimo, validando la capacidad discriminante del GEE v1.2.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9. Indicador 7: IMO — Índice de Mutación Ocupacional (v1.2)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9.2. Construcción (v1.2 — Modelo Hurdle)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CC2222"/>
          <w:sz w:val="22"/>
          <w:szCs w:val="22"/>
        </w:rPr>
        <w:t xml:space="preserve">Cambio: </w:t>
      </w:r>
      <w:r>
        <w:rPr>
          <w:rFonts w:ascii="Arial" w:cs="Arial" w:eastAsia="Arial" w:hAnsi="Arial"/>
          <w:sz w:val="22"/>
          <w:szCs w:val="22"/>
        </w:rPr>
        <w:t xml:space="preserve">El ratio simple (N_emergentes/N_principales) se reemplaza por un modelo Hurdle de dos partes, más apropiado para datos con exceso de ceros genuinos (74.5% de las ocupaciones no tienen tareas emergentes).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1 — Decisión binaria: </w:t>
      </w:r>
      <w:r>
        <w:rPr>
          <w:rFonts w:ascii="Arial" w:cs="Arial" w:eastAsia="Arial" w:hAnsi="Arial"/>
          <w:sz w:val="22"/>
          <w:szCs w:val="22"/>
        </w:rPr>
        <w:t xml:space="preserve">IMO_muta = 1 si la ocupación tiene tareas emergentes (ratio_v1 &gt; 0), 0 en caso contrario.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2 — Intensidad condicional: </w:t>
      </w:r>
      <w:r>
        <w:rPr>
          <w:rFonts w:ascii="Arial" w:cs="Arial" w:eastAsia="Arial" w:hAnsi="Arial"/>
          <w:sz w:val="22"/>
          <w:szCs w:val="22"/>
        </w:rPr>
        <w:t xml:space="preserve">IMO_intensidad = min(1.0, log(1 + ratio_v1) / log(2))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7A2E"/>
          <w:sz w:val="22"/>
          <w:szCs w:val="22"/>
        </w:rPr>
        <w:t xml:space="preserve">Fórmula v1.2: </w:t>
      </w:r>
      <w:r>
        <w:rPr>
          <w:rFonts w:ascii="Arial" w:cs="Arial" w:eastAsia="Arial" w:hAnsi="Arial"/>
          <w:sz w:val="22"/>
          <w:szCs w:val="22"/>
        </w:rPr>
        <w:t xml:space="preserve">IMO_v2 = IMO_muta × IMO_intensidad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logaritmo amortigua valores extremos. El cap en 1.0 impide ratios incoherentes (&gt; 1 significaría más tareas nuevas que originales). La división por log(2) normaliza de forma que un ratio de 1.0 en v1.1 mapea exactamente a 1.0 en v1.2.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@param ratio_v1: N_emergentes / N_principales (ratio v1.1 original).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@return IMO_v2 ∈ [0, 1]. 0 = ocupación estable; valores &gt; 0 indican mutación, con log-dampening de la intensidad.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@examples Shampooers: ratio_v1 = 1.25 → IMO_muta = 1, IMO_intensidad = min(1.0, log(2.25)/log(2)) = min(1.0, 1.170) = 1.000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9.4. Nota sobre zero-inflation (nueva v1.2)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Los ceros en IMO son genuinos, no artefactos estadísticos. Representan ocupaciones cuyo portafolio de tareas no ha incorporado tareas emergentes en O*NET 2024. El modelo Hurdle reconoce explícitamente esta estructura de dos procesos: la decisión «la ocupación muta» (binomial) es independiente de la intensidad de mutación (continua). Para análisis de regresión con IMO como variable dependiente, se recomienda un modelo Hurdle o Two-Part en lugar de OLS.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Validación §9 (v1.2)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50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v1.2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max(IMO)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18"/>
                <w:szCs w:val="18"/>
              </w:rPr>
              <w:t xml:space="preserve">1.250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1.000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✅ ≤ 1.0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Modelo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Ratio simple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Hurdle (2 partes)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% ceros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74.5%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76.9%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Genuinos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11. Protocolo de validación y robustez (v1.2)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11.1. Consistencia interna (actualizado v1.2)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 revisado: </w:t>
      </w:r>
      <w:r>
        <w:rPr>
          <w:rFonts w:ascii="Arial" w:cs="Arial" w:eastAsia="Arial" w:hAnsi="Arial"/>
          <w:sz w:val="22"/>
          <w:szCs w:val="22"/>
        </w:rPr>
        <w:t xml:space="preserve">Alpha de Cronbach α &gt; 0.70 aplica únicamente a indicadores reflexivos: IRO, IFS, IEF. Los indicadores formativos (ITEA, ICT) se validan mediante VIF, estabilidad de pesos y validez de criterio (véase §3.1 y §5.1).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11.6. Errores estándar robustos HC3 (nueva v1.2)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test de Breusch-Pagan sobre ITEA_Estratif ~ Estrato + SOC_Major rechaza la hipótesis nula de homocedasticidad (LM = 33.4, p &lt; 0.001). La varianza residual es significativamente mayor en el estrato de técnicos no cualificados (σ² estrato 1 ≈ 2× σ² estrato 4).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Prescripción: </w:t>
      </w:r>
      <w:r>
        <w:rPr>
          <w:rFonts w:ascii="Arial" w:cs="Arial" w:eastAsia="Arial" w:hAnsi="Arial"/>
          <w:sz w:val="22"/>
          <w:szCs w:val="22"/>
        </w:rPr>
        <w:t xml:space="preserve">Todos los tests de significación, intervalos de confianza y p-values reportados en publicaciones que utilicen indicadores ITEA deben emplear la matriz de covarianzas HC3 (MacKinnon &amp; White, 1985; Long &amp; Ervin, 2000). Los estimadores OLS puntuales no se ven afectados; la corrección afecta solo a la inferencia.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14. Limitaciones y advertencias metodológicas (nueva v1.2)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14.1. Redundancia residual IRO-IFS: r(IRO_v2, IFS_v2) = 0.632. La complejidad cognitiva (CC) correlaciona estructuralmente con las competencias sociales en los datos O*NET. Este solapamiento es teórico (las personas con alta capacidad de razonamiento tienden a puntuar alto en habilidades sociales) y no puede resolverse mediante reformulación algebraica. Se recomienda explorar en v1.3 si un constructo unificado es más parsimonioso.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14.2. IMO para ocupaciones con pocas tareas: Ocupaciones con N_principales &lt; 6 producen IMO inestable (pequeñas variaciones en tareas emergentes generan grandes cambios en el ratio). Se recomienda interpretar con cautela e incluir intervalos de confianza bootstrap (§11.5).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14.3. GEE y comparaciones inter-estrato: Aunque GEE_v2 discrimina bien entre Job Zones (ρ = 0.927), las comparaciones absolutas entre ocupaciones de distintos estratos requieren normalización intra-estrato, dado que la distribución de C_RL varía sistemáticamente por nivel profesional.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14.4. Heterocedasticidad: Confirmada (BP p &lt; 0.001). Todos los análisis de inferencia deben usar errores robustos HC3 (§11.6).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ITEA v1.2 — Metodología (secciones actualizadas)</w:t>
    </w:r>
    <w:r>
      <w:rPr>
        <w:rFonts w:ascii="Arial" w:cs="Arial" w:eastAsia="Arial" w:hAnsi="Arial"/>
        <w:color w:val="888888"/>
        <w:sz w:val="16"/>
        <w:szCs w:val="16"/>
      </w:rPr>
      <w:t xml:space="preserve">	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B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2026-04-14T07:03:24.862Z</dcterms:created>
  <dcterms:modified xsi:type="dcterms:W3CDTF">2026-04-14T07:03:24.863Z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