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8"/>
          <w:szCs w:val="38"/>
        </w:rPr>
        <w:t xml:space="preserve">FRAMEWORK ITEA v1.3</w:t>
      </w:r>
    </w:p>
    <w:p>
      <w:pPr>
        <w:spacing w:after="20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984"/>
          <w:sz w:val="24"/>
          <w:szCs w:val="24"/>
        </w:rPr>
        <w:t xml:space="preserve">Índice de Triple Exposición a la Automatización</w:t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Documento Metodológico — Secciones actualizadas v1.0→v1.3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8 indicadores · 1.016 ocupaciones · O*NET 2024 (v29.1)</w:t>
      </w:r>
    </w:p>
    <w:p>
      <w:pPr>
        <w:spacing w:after="3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Alberto García-Lluis Valencia — Universidad Rey Juan Carlos — Abril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Secciones no listadas (1, 2, 3.1–3.2, 5, 7, 10) permanecen inalteradas respecto a v1.1.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3.1. Nota sobre ITEA e ICT como índices formativos (v1.2+)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ITEA e ICT son índices formativos (componentes → indicador), no constructos reflexivos (variable latente → ítems). El α de Cronbach no es aplicable. La validez se establece mediante VIF &lt; 5 (cumplido: 1.01–1.21), estabilidad de pesos (ρ &gt; 0.90, cumplido: 0.987), y validez de criterio (r ITEA-AEI = 0.572). Ref: Diamantopoulos &amp; Winklhofer (2001), JMR 38(2).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4. IRO — Índice de Resiliencia Ocupacional (v1.3)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4.2.3. Complejidad Social (CS) — ELIMINADA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CS (= IFS) se elimina de IRO desde v1.2. Causa: redundancia r(IRO,IFS) = 0.507 detectada en el Informe de Robustez v1.1. Con el desacoplamiento, r(IRO_v3, IFS_v1) = 0.374.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4.3. Agregación v1.3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IRO = 0.35·CA + 0.35·CC + 0.30·SI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@param CA: Capacidad adaptativa [0,1]. Work_Styles (Innovation, Adaptability, Tolerance, Curiosity, Initiative).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@param CC: Complejidad cognitiva [0,1]. Skills+Abilities (Critical Thinking, Problem Solving, Reasoning, Originality).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@param SI: Seguridad institucional [0,1]. 0.5·Regulación + 0.3·Empleo_público + 0.2·Sindicalización.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Cronbach α = 0.842 [0.821, 0.861]. Limitación: r(IRO_v3, IFS_v3) = 0.586 por solapamiento estructural CC↔DHS/CC_comm.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6. IFS — Índice de Fricción Social (v1.3)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6.2.1. CI — Extracción como IPI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CI (Contacto Interpersonal) se extrae de IFS y se convierte en indicador independiente IPI (Índice de Presencialidad Interpersonal). Motivación: eliminar CI eleva α de 0.516 a 0.749 (+0.233). CI mide presencialidad, no competencia social.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6.3. Agregación v1.3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IFS = 0.35·CDE + 0.40·DHS + 0.25·CC_comm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Cronbach α = 0.749 [0.719, 0.776]. Los pesos privilegian DHS (habilidades sociales) como componente central de la fricción social. CC_comm se reduce de 0.30 a 0.25 para reflejar que la comunicación escrita es más automatizable que la oral.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6.4. IPI — Índice de Presencialidad Interpersonal (NUEVO v1.3)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IPI = CI_norm = 0.7·CI_presencial + 0.3·(1 − CI_remoto)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@return IPI ∈ [0, 1]. Valores altos = ocupación requiere alta presencialidad física. N=894, Media=0.609, DE=0.089.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Validez discriminante: r(IPI, IFS_v3) = -0.163, r(IPI, IRO_v3) = -0.452. IPI mide un constructo genuinamente distinto a IFS.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8. GEE — Gradiente Educación-Experiencia (v1.3)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8.2. Construcción v1.3 (Calibración OLS)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GEE = normalize(0.215·C_RL_años + 0.004·C_RW_meses)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Coeficientes de OLS: JZ ~ SVP (R²=0.854, N=878). C_PT y C_OJ no significativos (p&gt;0.10). Separación por JZ: JZ2 (M=0.244) → JZ3 (0.456) → JZ4 (0.623) → JZ5 (0.803). Spearman ρ = 0.927.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8.4. Alternativa explorada y descartada (v1.3)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2222"/>
          <w:sz w:val="21"/>
          <w:szCs w:val="21"/>
        </w:rPr>
        <w:t xml:space="preserve">Log-percentil intra-Job Zone: </w:t>
      </w:r>
      <w:r>
        <w:rPr>
          <w:rFonts w:ascii="Arial" w:cs="Arial" w:eastAsia="Arial" w:hAnsi="Arial"/>
          <w:color w:val="CC2222"/>
          <w:sz w:val="21"/>
          <w:szCs w:val="21"/>
        </w:rPr>
        <w:t xml:space="preserve">Se exploró GEE = (RL_pct_jz^0.7) / (RL_pct_jz^0.7 + EXP_pct_jz^0.7). Resultado: ρ = -0.02 con Job Zone. La normalización dentro de cada JZ destruye la varianza entre JZ, anulando la capacidad discriminante. Este hallazgo confirma que la validación inter-estrato requiere métricas en escala absoluta, no relativa.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9. IMO — Índice de Mutación Ocupacional (v1.3)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IMO = IMO_muta × min(1.0, log(1+ratio)/log(2))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Modelo Hurdle de dos partes. IMO_muta = 1 si ratio_v1 &gt; 0. Cap ≤ 1.0 (corrige Shampooers 1.25→1.00). Los ceros (76.9%) son genuinos: ocupaciones estables sin tareas emergentes.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11. Protocolo de validación (v1.3)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11.1. Criterios actualizados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α &gt; 0.70 solo para indicadores reflexivos (IRO, IFS, IEF). ITEA/ICT: VIF + estabilidad. GEE: ρ(JZ). IMO: Hurdle + cap. IPI: validez discriminante.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11.6. Errores robustos HC3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Breusch-Pagan p &lt; 0.001. Todos los tests de inferencia deben usar HC3 (MacKinnon &amp; White, 1985).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11.7. Tabla de validación v1.1→v1.3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100"/>
        <w:gridCol w:w="1100"/>
        <w:gridCol w:w="1100"/>
        <w:gridCol w:w="1100"/>
        <w:gridCol w:w="140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v1.2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v1.3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Obj.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GEE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Spearman ρ vs JZ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7"/>
                <w:szCs w:val="17"/>
              </w:rPr>
              <w:t xml:space="preserve">0.259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0.927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7"/>
                <w:szCs w:val="17"/>
              </w:rPr>
              <w:t xml:space="preserve">0.927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&gt;0.50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IRO-IFS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Pearson r (vs IFS_v1)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7"/>
                <w:szCs w:val="17"/>
              </w:rPr>
              <w:t xml:space="preserve">0.507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0.374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7"/>
                <w:szCs w:val="17"/>
              </w:rPr>
              <w:t xml:space="preserve">0.374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&lt;0.30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⚠️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IFS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Cronbach 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7"/>
                <w:szCs w:val="17"/>
              </w:rPr>
              <w:t xml:space="preserve">0.516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0.749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7"/>
                <w:szCs w:val="17"/>
              </w:rPr>
              <w:t xml:space="preserve">0.749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&gt;0.70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IPI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r(IPI, IFS_v3)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7"/>
                <w:szCs w:val="17"/>
              </w:rPr>
              <w:t xml:space="preserve">-0.163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Discr.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IMO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max ≤ 1.0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7"/>
                <w:szCs w:val="17"/>
              </w:rPr>
              <w:t xml:space="preserve">1.250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7"/>
                <w:szCs w:val="17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≤1.0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IRO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Cronbach 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0.798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0.842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7"/>
                <w:szCs w:val="17"/>
              </w:rPr>
              <w:t xml:space="preserve">0.842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&gt;0.70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IEF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Cronbach 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0.919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0.919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7"/>
                <w:szCs w:val="17"/>
              </w:rPr>
              <w:t xml:space="preserve">0.919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&gt;0.70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ITEA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Estabilidad pesos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7"/>
                <w:szCs w:val="17"/>
              </w:rPr>
              <w:t xml:space="preserve">0.987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0.987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7"/>
                <w:szCs w:val="17"/>
              </w:rPr>
              <w:t xml:space="preserve">0.987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&gt;0.90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14. Histórico de versiones v1.0→v1.3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5000"/>
        <w:gridCol w:w="190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Cambio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v1.0→v1.1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Conceptual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IRO: Nueva dimensión SI (Seguridad Institucional)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Ampliar resiliencia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v1.0→v1.1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Operacional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ITEA: Agregación aditiva IM+RT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Simplificar pesos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v1.0→v1.1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Estadística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Bootstrap para incertidumbre (§11.5)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Ocupaciones N&lt;30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7"/>
                <w:szCs w:val="17"/>
              </w:rPr>
              <w:t xml:space="preserve">MAJOR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GEE: Calibración OLS (ρ 0.259→0.927)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Crítico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7"/>
                <w:szCs w:val="17"/>
              </w:rPr>
              <w:t xml:space="preserve">MAJOR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IRO: Desacoplamiento CS=IFS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7"/>
                <w:szCs w:val="17"/>
              </w:rPr>
              <w:t xml:space="preserve">MAJOR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IMO: Hurdle + cap ≤1.0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MINOR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IFS: Eliminación CI (α 0.516→0.749)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v1.1→v1.2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BUGFIX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IMO max Shampooers 1.25→1.00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Baja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v1.2→v1.3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22"/>
                <w:sz w:val="17"/>
                <w:szCs w:val="17"/>
              </w:rPr>
              <w:t xml:space="preserve">MAJOR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IPI: Nuevo 8º indicador (CI_norm)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Discriminante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v1.2→v1.3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MINOR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IFS: Pesos 0.35/0.40/0.25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Teórico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v1.2→v1.3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DESCARTADO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GEE log-percentil intra-JZ (ρ=-0.02)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Documentado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Referencia: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Lüdecke et al. (2021). performance: An R Package for Assessment, Comparison and Testing of Statistical Models. JOSS 6(60), 3139.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Pág.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5"/>
        <w:szCs w:val="15"/>
      </w:rPr>
      <w:t xml:space="preserve">ITEA v1.3 — Metodología</w:t>
    </w:r>
    <w:r>
      <w:rPr>
        <w:rFonts w:ascii="Arial" w:cs="Arial" w:eastAsia="Arial" w:hAnsi="Arial"/>
        <w:color w:val="888888"/>
        <w:sz w:val="15"/>
        <w:szCs w:val="15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98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B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2026-04-14T07:39:45.799Z</dcterms:created>
  <dcterms:modified xsi:type="dcterms:W3CDTF">2026-04-14T07:39:45.800Z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