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40"/>
          <w:szCs w:val="40"/>
        </w:rPr>
        <w:t xml:space="preserve">INFORME TÉCNICO DE ROBUSTEZ</w:t>
      </w:r>
    </w:p>
    <w:p>
      <w:pPr>
        <w:spacing w:after="40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5984"/>
          <w:sz w:val="26"/>
          <w:szCs w:val="26"/>
        </w:rPr>
        <w:t xml:space="preserve">Framework ITEA v1.1 — Índice de Triple Exposición a la Automatización</w:t>
      </w:r>
    </w:p>
    <w:p>
      <w:pPr>
        <w:pBdr>
          <w:top w:val="single" w:color="1B3A5C" w:sz="6" w:space="8"/>
          <w:bottom w:val="single" w:color="1B3A5C" w:sz="6" w:space="8"/>
        </w:pBdr>
        <w:spacing w:after="100" w:before="1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Evaluación estadística basada en los principios del paquete performance (R)
Lüdecke et al. (2021), JOSS 6(60), 3139</w:t>
      </w:r>
    </w:p>
    <w:p>
      <w:pPr>
        <w:spacing w:after="80" w:befor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Datos: Research_Data_Workbook_ITEA_v1_1_COMPLETO.xlsx (N = 1.016 ocupaciones, 923 con AEI)</w:t>
      </w:r>
    </w:p>
    <w:p>
      <w:pPr>
        <w:spacing w:after="8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Alberto García-Lluis Valencia — Universidad Rey Juan Carlos</w:t>
      </w:r>
    </w:p>
    <w:p>
      <w:pPr>
        <w:spacing w:after="80" w:before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Abril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Consistencia Interna (Alpha de Cronbach)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Alpha de Cronbach mide la consistencia interna de las dimensiones que componen cada indicador compuesto. El criterio del documento metodológico (§11.1) establece α &gt; 0,70 como umbral de aceptación. Se calculó sobre la totalidad de ocupaciones disponibles para cada indicador.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Resultados globales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1800"/>
        <w:gridCol w:w="170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 95%</w:t>
            </w:r>
          </w:p>
        </w:tc>
        <w:tc>
          <w:tcPr>
            <w:tcW w:type="dxa" w:w="1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Veredicto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EAC, EIG, EIA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-0.327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[-0.482, -0.185]</w:t>
            </w:r>
          </w:p>
        </w:tc>
        <w:tc>
          <w:tcPr>
            <w:tcW w:type="dxa" w:w="1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❌ FAIL crítico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IRO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CA, CC, CS, SI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0.798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[0.774, 0.819]</w:t>
            </w:r>
          </w:p>
        </w:tc>
        <w:tc>
          <w:tcPr>
            <w:tcW w:type="dxa" w:w="1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IRO sin SI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CA, CC, CS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0.664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[0.623, 0.701]</w:t>
            </w:r>
          </w:p>
        </w:tc>
        <w:tc>
          <w:tcPr>
            <w:tcW w:type="dxa" w:w="1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⚠️ Marginal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ICT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ITD, ATE, DTS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-0.214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[-0.359, -0.083]</w:t>
            </w:r>
          </w:p>
        </w:tc>
        <w:tc>
          <w:tcPr>
            <w:tcW w:type="dxa" w:w="1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❌ FAIL crítico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IFS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CI, CDE, DHS, CC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0.516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[0.462, 0.566]</w:t>
            </w:r>
          </w:p>
        </w:tc>
        <w:tc>
          <w:tcPr>
            <w:tcW w:type="dxa" w:w="1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⚠️ Insuficiente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IEF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DPF, ERA, DCF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0.919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[0.909, 0.928]</w:t>
            </w:r>
          </w:p>
        </w:tc>
        <w:tc>
          <w:tcPr>
            <w:tcW w:type="dxa" w:w="1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✅ Excelente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1.2 Análisis de eliminación de ítems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ITEA: </w:t>
      </w:r>
      <w:r>
        <w:rPr>
          <w:rFonts w:ascii="Arial" w:cs="Arial" w:eastAsia="Arial" w:hAnsi="Arial"/>
          <w:sz w:val="22"/>
          <w:szCs w:val="22"/>
        </w:rPr>
        <w:t xml:space="preserve">El α negativo indica que los tres vectores tecnológicos (EAC, EIG, EIA) NO forman una escala unidimensional. Esto era esperable conceptualmente: las dimensiones de automatización son intencionalmente ortogonales. La eliminación de EAC eleva α a 0.189, lo que confirma que EAC (automatización clásica) opera en una dirección opuesta a EIG/EIA. Esto no es un defecto sino un hallazgo: valida que ITEA no es una escala psicológica sino un índice compuesto formativo.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ICT: </w:t>
      </w:r>
      <w:r>
        <w:rPr>
          <w:rFonts w:ascii="Arial" w:cs="Arial" w:eastAsia="Arial" w:hAnsi="Arial"/>
          <w:sz w:val="22"/>
          <w:szCs w:val="22"/>
        </w:rPr>
        <w:t xml:space="preserve">El α negativo confirma que Dependencia de TI (ITD), Adaptabilidad Tecnológica (ATE) y Desplazamiento Tecnológico (DTS, invertido) tampoco forman escala reflexiva. ICT está formulado como índice de complementariedad neta, no como constructo psicológico latente.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IFS: </w:t>
      </w:r>
      <w:r>
        <w:rPr>
          <w:rFonts w:ascii="Arial" w:cs="Arial" w:eastAsia="Arial" w:hAnsi="Arial"/>
          <w:sz w:val="22"/>
          <w:szCs w:val="22"/>
        </w:rPr>
        <w:t xml:space="preserve">α = 0.516 es insuficiente. La eliminación de CI (Contacto Interpersonal) eleva α a 0.749, lo que sugiere que CI mide un constructo distinto al resto (CDE, DHS, CC). Recomendación: evaluar si CI debe tratarse como indicador independiente o recalibrarse en v1.2.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Nota metodológica: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Los α negativos en ITEA e ICT no invalidan los indicadores. Cronbach’s Alpha asume un modelo reflexivo (constructo latente → ítems). ITEA e ICT son índices formativos (componentes → indicador). Para índices formativos, la validez se establece vía VIF y validez de criterio, no vía α.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Validación de Supuestos del Modelo (Check Model)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Multicolinealidad (VIF)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 calculó el Factor de Inflación de la Varianza para los tres componentes de ITEA escalar en un modelo ITEA ~ EAC + EIG + EIA: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50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VIF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Veredicto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EAC (Autom. Clásica)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1.205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0.830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✅ OK (VIF &lt; 5)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EIG (IA Generativa)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1.211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0.826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✅ OK (VIF &lt; 5)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EIA (IA Agéntica)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0.986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✅ OK (VIF &lt; 5)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Los tres vectores tecnológicos son prácticamente ortogonales (VIF ≈ 1). La correlación más alta es r(EAC, EIG) = -0.411, que está dentro del rango aceptable y refleja la sustitución parcial entre automatización clásica e IA generativa. Este resultado valida la premisa central del ITEA: los tres vectores capturan dimensiones de automatización empíricamente distintas.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Heterocedasticidad (Breusch-Pagan)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Test de Breusch-Pagan sobre el modelo ITEA_Estratificado ~ Estrato + SOC_Major (N = 923):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50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Estadístico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Breusch-Pagan LM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33.389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p-value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&lt; 0.001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8"/>
                <w:szCs w:val="18"/>
              </w:rPr>
              <w:t xml:space="preserve">⚠️ Heterocedasticidad significativa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R² del modelo base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0.932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Ajuste excelente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Implicación: </w:t>
      </w:r>
      <w:r>
        <w:rPr>
          <w:rFonts w:ascii="Arial" w:cs="Arial" w:eastAsia="Arial" w:hAnsi="Arial"/>
          <w:sz w:val="22"/>
          <w:szCs w:val="22"/>
        </w:rPr>
        <w:t xml:space="preserve">La varianza residual no es constante entre estratos y sectores. Esto es común en datos de estratificación ocupacional (las ocupaciones de baja cualificación tienen mayor variabilidad que las de alta cualificación).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Acción requerida: </w:t>
      </w:r>
      <w:r>
        <w:rPr>
          <w:rFonts w:ascii="Arial" w:cs="Arial" w:eastAsia="Arial" w:hAnsi="Arial"/>
          <w:sz w:val="22"/>
          <w:szCs w:val="22"/>
        </w:rPr>
        <w:t xml:space="preserve">Todos los tests de significación e intervalos de confianza deben usar errores estándar robustos (HC3, Heteroscedasticity-Consistent). Los p-values OLS estándar son inválidos para inferencia.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Singularidad de Indicadores (Estructura Factorial)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GEE vs Job Zone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00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§8.3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Spearman ρ (GEE, Job Zone)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0.259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ρ &gt; 0.60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❌ FAIL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Pearson r (GEE, Job Zone)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0.302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18"/>
                <w:szCs w:val="18"/>
              </w:rPr>
              <w:t xml:space="preserve">Débil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GEE por Job Zone: </w:t>
      </w:r>
      <w:r>
        <w:rPr>
          <w:rFonts w:ascii="Arial" w:cs="Arial" w:eastAsia="Arial" w:hAnsi="Arial"/>
          <w:sz w:val="22"/>
          <w:szCs w:val="22"/>
        </w:rPr>
        <w:t xml:space="preserve">JZ2 (Media=0.673, DE=0.154) → JZ3 (0.700, 0.120) → JZ4 (0.730, 0.077) → JZ5 (0.780, 0.081). Hay una tendencia creciente, pero el solapamiento entre distribuciones es excesivo. La varianza intra-grupo en JZ2 (σ=0.154) es casi el doble que en JZ5 (σ=0.081), lo que explica la baja correlación ordinal.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Diagnóstico: </w:t>
      </w:r>
      <w:r>
        <w:rPr>
          <w:rFonts w:ascii="Arial" w:cs="Arial" w:eastAsia="Arial" w:hAnsi="Arial"/>
          <w:sz w:val="22"/>
          <w:szCs w:val="22"/>
        </w:rPr>
        <w:t xml:space="preserve">El GEE v1.1 convierte educación a años (C_RL) y experiencia a meses (RW, PT, OJ), pero la fórmula de ratio GEE = C_RL / (C_RL + C_EXP/12) colapsa información ordinal. Ocupaciones de JZ2 con experiencia larga pueden obtener GEE similar a ocupaciones de JZ4 con mucha educación. La conversión lineal años/meses destruye el poder discriminante del Job Zone.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CC2222"/>
          <w:sz w:val="22"/>
          <w:szCs w:val="22"/>
        </w:rPr>
        <w:t xml:space="preserve">Veredicto: </w:t>
      </w:r>
      <w:r>
        <w:rPr>
          <w:rFonts w:ascii="Arial" w:cs="Arial" w:eastAsia="Arial" w:hAnsi="Arial"/>
          <w:color w:val="CC2222"/>
          <w:sz w:val="22"/>
          <w:szCs w:val="22"/>
        </w:rPr>
        <w:t xml:space="preserve">DEFECTO CONFIRMADO. El GEE no es válido como proxy de preparación profesional en v1.1. Requiere reformulación antes de uso en comparaciones inter-estrato.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IRO: Contribución de la dimensión SI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Modelo OLS: IRO ~ CA + CC + CS (± SI). Los coeficientes recuperan exactamente los pesos teóricos (β_CA = 0.300, β_CC = 0.300, β_CS = 0.250, β_SI = 0.150), con R² = 1.000. Esto confirma que IRO es determinístico respecto a sus componentes (sin error de medida en la agregación).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 SI: </w:t>
      </w:r>
      <w:r>
        <w:rPr>
          <w:rFonts w:ascii="Arial" w:cs="Arial" w:eastAsia="Arial" w:hAnsi="Arial"/>
          <w:sz w:val="22"/>
          <w:szCs w:val="22"/>
        </w:rPr>
        <w:t xml:space="preserve">R² adj = 0.981, AIC = -5574.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 SI: </w:t>
      </w:r>
      <w:r>
        <w:rPr>
          <w:rFonts w:ascii="Arial" w:cs="Arial" w:eastAsia="Arial" w:hAnsi="Arial"/>
          <w:sz w:val="22"/>
          <w:szCs w:val="22"/>
        </w:rPr>
        <w:t xml:space="preserve">R² adj = 1.000, AIC = -15418. La incorporación de SI es estadísticamente significativa (F = 78.3M, p ≈ 0), pero este resultado es trivial: SI es un componente definitorio de IRO, no un predictor independiente.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3.3 Redundancia IRO ↔ IFS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00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Pearson r(IRO, IFS)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0.507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 &lt; 0.30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⚠️ Redundancia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Varianza compartida (r²)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25.7%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9%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18"/>
                <w:szCs w:val="18"/>
              </w:rPr>
              <w:t xml:space="preserve">⚠️ Alto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dimensión CS (Complejidad Social) de IRO es idéntica al indicador IFS. Esto genera una dependencia circular que infla artificialmente la asociación entre «resiliencia» y «fricción social». El 25.7% de varianza compartida está por encima del umbral de 9% (r &lt; 0.30) para validez discriminante.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Sobredispersión y Cero-Inflación (IMO)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00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Estadístico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 total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923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0.022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Extremadamente baja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Mediana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0.000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 mayoría son ceros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0.061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 ≈ 3× Media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Máximo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1.250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8"/>
                <w:szCs w:val="18"/>
              </w:rPr>
              <w:t xml:space="preserve">Shampooers — posible anomalía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% Ceros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74.5%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8"/>
                <w:szCs w:val="18"/>
              </w:rPr>
              <w:t xml:space="preserve">⚠️ Exceso severo de ceros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Ratio ceros obs/esp (Poisson)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6.78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8"/>
                <w:szCs w:val="18"/>
              </w:rPr>
              <w:t xml:space="preserve">❌ Zero-inflation confirmada (ratio &gt;&gt; 1.5)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Proporción de ceros por estrato: </w:t>
      </w:r>
      <w:r>
        <w:rPr>
          <w:rFonts w:ascii="Arial" w:cs="Arial" w:eastAsia="Arial" w:hAnsi="Arial"/>
          <w:sz w:val="22"/>
          <w:szCs w:val="22"/>
        </w:rPr>
        <w:t xml:space="preserve">Estrato 1: 77.2%, Estrato 2: 72.1%, Estrato 3: 74.3%, Estrato 4: 100% (N=3). El fenómeno es transversal y no depende del nivel profesional.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Caso Shampooers (IMO = 1.25): </w:t>
      </w:r>
      <w:r>
        <w:rPr>
          <w:rFonts w:ascii="Arial" w:cs="Arial" w:eastAsia="Arial" w:hAnsi="Arial"/>
          <w:sz w:val="22"/>
          <w:szCs w:val="22"/>
        </w:rPr>
        <w:t xml:space="preserve">Esta ocupación tiene presumiblemente 4 tareas principales y 5 tareas emergentes (ratio 5/4 = 1.25). Un IMO &gt; 1 es incoherente con la lógica del índice (implica más tareas nuevas que originales). Se recomienda cap en 1.0 o excluir ocupaciones con &lt; 6 tareas base.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Recomendación: </w:t>
      </w:r>
      <w:r>
        <w:rPr>
          <w:rFonts w:ascii="Arial" w:cs="Arial" w:eastAsia="Arial" w:hAnsi="Arial"/>
          <w:sz w:val="22"/>
          <w:szCs w:val="22"/>
        </w:rPr>
        <w:t xml:space="preserve">Modelo Hurdle (Two-Part). Parte 1: Regresión logística P(IMO &gt; 0) ~ Estrato + Sector. Parte 2: Regresión Beta/Gamma sobre IMO | IMO &gt; 0. Esto separa la decisión «la ocupación muta» de la intensidad de mutación.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Estabilidad de Pesos (Análisis de Sensibilidad)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Perturbación sistemática ±20%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 evaluaron 26 escenarios combinatorios variando cada peso (α₁, α₂, α₃) en factores {0.8, 1.0, 1.2} con renormalización a suma 1. El ranking de las 923 ocupaciones se comparó con el original mediante correlación de Spearman: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50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(§11.3)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Spearman ρ media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0.996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✅ &gt;&gt; 0.90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Spearman ρ mínimo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0.987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✅ &gt; 0.90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Peor escenario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α₁×1.2, α₂×1.2, α₃×0.8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ρ = 0.987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 10: coincidencia en peor escenario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6 / 10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18"/>
                <w:szCs w:val="18"/>
              </w:rPr>
              <w:t xml:space="preserve">⚠️ Cabeza del ranking inestable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Monte Carlo (1.000 perturbaciones aleatorias)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 generaron 1.000 vectores de perturbación aleatorios con factores ~ U(0.8, 1.2) aplicados a cada peso, con renormalización: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50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 Monte Carlo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Evaluación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Spearman ρ media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0.998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Excelente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Spearman ρ mínimo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0.989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✅ &gt; 0.90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% escenarios ρ &gt; 0.90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100%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✅ Robusto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Percentil 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0.995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7A2E"/>
          <w:sz w:val="22"/>
          <w:szCs w:val="22"/>
        </w:rPr>
        <w:t xml:space="preserve">Veredicto: </w:t>
      </w:r>
      <w:r>
        <w:rPr>
          <w:rFonts w:ascii="Arial" w:cs="Arial" w:eastAsia="Arial" w:hAnsi="Arial"/>
          <w:color w:val="1A7A2E"/>
          <w:sz w:val="22"/>
          <w:szCs w:val="22"/>
        </w:rPr>
        <w:t xml:space="preserve">El ranking global del ITEA es altamente estable ante perturbaciones de ±20% en los pesos. Sin embargo, la cabeza del ranking (Top 10) muestra cierta inestabilidad: solo 6 de 10 ocupaciones se mantienen en el peor escenario. Esto es esperable dado que las diferencias de ITEA en el percentil superior son pequeñas (~0.02 puntos entre posiciones consecutivas).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Cuadro de Mando de Robustez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500"/>
        <w:gridCol w:w="1500"/>
        <w:gridCol w:w="1200"/>
        <w:gridCol w:w="150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VIF (multicolinealidad)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1.01–1.21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Cronbach α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-0.327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 0.70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N/A*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Estabilidad pesos (ρ)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0.987+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 0.90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Breusch-Pagan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 &lt; 0.001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 &gt; 0.05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⚠️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IRO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Cronbach α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0.798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 0.70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IRO-IFS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Redundancia (r)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0.507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0.30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⚠️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IEF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Cronbach α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0.919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 0.70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IFS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Cronbach α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0.516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 0.70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⚠️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GEE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Spearman ρ vs Job Zone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0.259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 0.60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Crítica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IMO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Zero-inflation ratio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6.78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1.5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* N/A: α no es aplicable a índices formativos; la validez se establece vía VIF y validez de criterio.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Recomendaciones para ITEA v1.2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7.1 Prioridad Crítica: Reformulación del GEE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GEE requiere una revisión estructural de la fórmula de conversión. La suma lineal de años de educación con meses de experiencia destruye la ordinalidad del Job Zone. Se propone: (a) estandarizar cada componente SVP en percentiles dentro de la distribución O*NET, (b) aplicar PCA sobre las variables desagregadas (C_RL, C_RW, C_PT, C_OJ), y (c) validar contra Job Zone con objetivo ρ &gt; 0.50. Alternativamente, GEE podría calcularse como función logarítmica: GEE_v2 = log(1 + C_RL) / log(1 + C_RL + C_EXP_total/12).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7.2 Prioridad Alta: Poda de redundancia IRO-IFS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Eliminar CS = IFS del cálculo de IRO y sustituirlo por un subíndice de Resiliencia Social derivado empíricamente (regresión de las subdimensiones DHS y CC sobre IRO, excluyendo IFS). Objetivo: r(IRO, IFS) &lt; 0.30.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7.3 Prioridad Alta: Modelo Hurdle para IMO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Reemplazar el ratio continuo por un modelo de dos partes: (1) regresión logística para la probabilidad de mutación, (2) regresión Beta para la intensidad condicional. Implementar cap en IMO ≤ 1.0 y excluir ocupaciones con &lt; 6 tareas base del cálculo.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7.4 Prioridad Media: Errores robustos HC3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Dada la heterocedasticidad confirmada, todos los tests de significación y los intervalos de confianza reportados en publicaciones deben usar la matriz de covarianzas HC3 (MacKinnon &amp; White, 1985). Esto no afecta a los estimadores puntuales, pero sí a la inferencia.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7.5 Prioridad Media: Recalibración de IFS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eliminación de CI (Contacto Interpersonal) eleva α de 0.516 a 0.749. Se recomienda evaluar si CI debe separarse como indicador independiente («Intensidad de Interacción Presencial») o si su peso en IFS debe reducirse significativamente.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7.6 Nota sobre ITEA e ICT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Los α negativos de ITEA e ICT no requieren acción correctiva. Ambos son índices formativos por diseño. Se recomienda documentar explícitamente en la metodología que el criterio α &gt; 0.70 de §11.1 aplica únicamente a indicadores reflexivos (IRO, IFS, IEF), y que ITEA e ICT se validan vía VIF, validez de criterio y estabilidad de pesos.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top w:val="single" w:color="1B3A5C" w:sz="4" w:space="8"/>
        </w:pBdr>
        <w:spacing w:before="4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Referencia metodológica</w:t>
      </w: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Lüdecke, D., Ben-Shachar, M. S., Patil, I., Waggoner, P. &amp; Makowski, D. (2021).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performance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: An R Package for Assessment, Comparison and Testing of Statistical Models.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Journal of Open Source Software, 6(60), 3139.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Los tests equívalentes se ejecutaron en Python (scipy 1.12, statsmodels 0.14, pingouin 0.5) replicando la lógica de check_collinearity(), check_heteroscedasticity(), check_zeroinflation() y cronbach_alpha() del ecosistema easystats.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ITEA v1.1 — Informe de Robustez</w:t>
    </w:r>
    <w:r>
      <w:rPr>
        <w:rFonts w:ascii="Arial" w:cs="Arial" w:eastAsia="Arial" w:hAnsi="Arial"/>
        <w:color w:val="888888"/>
        <w:sz w:val="16"/>
        <w:szCs w:val="16"/>
      </w:rPr>
      <w:t xml:space="preserve">	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B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2026-04-14T06:41:38.890Z</dcterms:created>
  <dcterms:modified xsi:type="dcterms:W3CDTF">2026-04-14T06:41:38.891Z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